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A28" w14:textId="77777777" w:rsidR="003378B3" w:rsidRDefault="003378B3" w:rsidP="00D57303">
      <w:pPr>
        <w:spacing w:after="0" w:line="240" w:lineRule="auto"/>
        <w:ind w:right="4"/>
        <w:rPr>
          <w:rFonts w:ascii="Cambria" w:hAnsi="Cambria"/>
          <w:b/>
          <w:color w:val="000000" w:themeColor="text1"/>
          <w:lang w:val="es-US"/>
        </w:rPr>
      </w:pPr>
    </w:p>
    <w:p w14:paraId="5DFE3DAD" w14:textId="1A3A2776" w:rsidR="001236DC" w:rsidRPr="008C0E1A" w:rsidRDefault="001236DC" w:rsidP="001236DC">
      <w:pPr>
        <w:spacing w:after="0" w:line="240" w:lineRule="auto"/>
        <w:ind w:right="4"/>
        <w:jc w:val="center"/>
        <w:rPr>
          <w:rFonts w:ascii="Cambria" w:hAnsi="Cambria"/>
          <w:color w:val="000000" w:themeColor="text1"/>
          <w:lang w:val="pt-BR"/>
        </w:rPr>
      </w:pPr>
      <w:r w:rsidRPr="008C0E1A">
        <w:rPr>
          <w:rFonts w:ascii="Cambria" w:hAnsi="Cambria"/>
          <w:b/>
          <w:color w:val="000000" w:themeColor="text1"/>
          <w:lang w:val="pt-BR"/>
        </w:rPr>
        <w:t>FICHA TÉCNICA INFORMATIVA</w:t>
      </w:r>
    </w:p>
    <w:p w14:paraId="7D91021E" w14:textId="77777777" w:rsidR="001236DC" w:rsidRPr="00644AF6" w:rsidRDefault="001236DC" w:rsidP="001236DC">
      <w:pPr>
        <w:spacing w:after="0" w:line="240" w:lineRule="auto"/>
        <w:ind w:right="4"/>
        <w:jc w:val="center"/>
        <w:rPr>
          <w:rFonts w:ascii="Cambria" w:eastAsia="Batang" w:hAnsi="Cambria"/>
          <w:b/>
          <w:color w:val="000000" w:themeColor="text1"/>
          <w:lang w:val="pt-BR" w:eastAsia="es-ES_tradnl"/>
        </w:rPr>
      </w:pPr>
      <w:r w:rsidRPr="00644AF6">
        <w:rPr>
          <w:rFonts w:ascii="Cambria" w:eastAsia="Batang" w:hAnsi="Cambria"/>
          <w:b/>
          <w:color w:val="000000" w:themeColor="text1"/>
          <w:lang w:val="pt-BR" w:eastAsia="es-ES_tradnl"/>
        </w:rPr>
        <w:t>CASO 13.869 SILVIA MÓNICA SEVERINI</w:t>
      </w:r>
    </w:p>
    <w:p w14:paraId="3F0B24CC" w14:textId="77777777" w:rsidR="001236DC" w:rsidRPr="0089140E" w:rsidRDefault="001236DC" w:rsidP="001236DC">
      <w:pPr>
        <w:spacing w:after="0" w:line="240" w:lineRule="auto"/>
        <w:ind w:right="4"/>
        <w:jc w:val="center"/>
        <w:rPr>
          <w:rFonts w:ascii="Cambria" w:eastAsia="Batang" w:hAnsi="Cambria"/>
          <w:b/>
          <w:color w:val="000000" w:themeColor="text1"/>
          <w:lang w:val="es-AR" w:eastAsia="es-ES_tradnl"/>
        </w:rPr>
      </w:pPr>
      <w:r w:rsidRPr="00644AF6">
        <w:rPr>
          <w:rFonts w:ascii="Cambria" w:eastAsia="Batang" w:hAnsi="Cambria"/>
          <w:b/>
          <w:color w:val="000000" w:themeColor="text1"/>
          <w:lang w:val="es-CO"/>
        </w:rPr>
        <w:t>INFORME DE SOLUCIÓN AMISTOSA No.</w:t>
      </w:r>
      <w:r w:rsidRPr="00644AF6">
        <w:rPr>
          <w:rStyle w:val="Hyperlink"/>
          <w:lang w:val="es-US"/>
        </w:rPr>
        <w:t xml:space="preserve"> </w:t>
      </w:r>
      <w:hyperlink r:id="rId12" w:history="1">
        <w:r w:rsidRPr="00644AF6">
          <w:rPr>
            <w:rStyle w:val="Hyperlink"/>
            <w:rFonts w:ascii="Cambria" w:eastAsia="Batang" w:hAnsi="Cambria"/>
            <w:b/>
          </w:rPr>
          <w:t>349/22</w:t>
        </w:r>
      </w:hyperlink>
    </w:p>
    <w:p w14:paraId="298F6F2B" w14:textId="77777777" w:rsidR="001236DC" w:rsidRPr="0089140E" w:rsidRDefault="001236DC" w:rsidP="001236DC">
      <w:pPr>
        <w:spacing w:after="0" w:line="240" w:lineRule="auto"/>
        <w:ind w:right="4"/>
        <w:jc w:val="center"/>
        <w:rPr>
          <w:rFonts w:ascii="Cambria" w:eastAsia="Batang" w:hAnsi="Cambria"/>
          <w:b/>
          <w:color w:val="000000" w:themeColor="text1"/>
          <w:lang w:val="es-CO"/>
        </w:rPr>
      </w:pPr>
      <w:r w:rsidRPr="0089140E">
        <w:rPr>
          <w:rFonts w:ascii="Cambria" w:eastAsia="Batang" w:hAnsi="Cambria"/>
          <w:b/>
          <w:color w:val="000000" w:themeColor="text1"/>
          <w:lang w:val="es-CO"/>
        </w:rPr>
        <w:t>CUMPLIMIENTO TOTAL</w:t>
      </w:r>
    </w:p>
    <w:p w14:paraId="7EA87BEA" w14:textId="77777777" w:rsidR="001236DC" w:rsidRPr="0009182C" w:rsidRDefault="001236DC" w:rsidP="001236DC">
      <w:pPr>
        <w:spacing w:after="0" w:line="240" w:lineRule="auto"/>
        <w:ind w:right="4"/>
        <w:jc w:val="center"/>
        <w:rPr>
          <w:rFonts w:ascii="Cambria" w:eastAsia="Batang" w:hAnsi="Cambria"/>
          <w:b/>
          <w:color w:val="000000" w:themeColor="text1"/>
          <w:lang w:val="es-CO"/>
        </w:rPr>
      </w:pPr>
      <w:r w:rsidRPr="00644AF6">
        <w:rPr>
          <w:rFonts w:ascii="Cambria" w:eastAsia="Batang" w:hAnsi="Cambria"/>
          <w:b/>
          <w:color w:val="000000" w:themeColor="text1"/>
          <w:lang w:val="es-CO"/>
        </w:rPr>
        <w:t>(ARGENTINA)</w:t>
      </w:r>
    </w:p>
    <w:p w14:paraId="20A6C229" w14:textId="77777777" w:rsidR="001236DC" w:rsidRPr="0009182C" w:rsidRDefault="001236DC" w:rsidP="001236DC">
      <w:pPr>
        <w:spacing w:after="0" w:line="240" w:lineRule="auto"/>
        <w:jc w:val="center"/>
        <w:rPr>
          <w:rFonts w:ascii="Cambria" w:eastAsia="Batang" w:hAnsi="Cambria"/>
          <w:b/>
          <w:color w:val="080808"/>
          <w:lang w:val="es-CO"/>
        </w:rPr>
      </w:pPr>
    </w:p>
    <w:p w14:paraId="38736601" w14:textId="77777777" w:rsidR="001236DC" w:rsidRPr="0009182C" w:rsidRDefault="001236DC" w:rsidP="001236DC">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3E1CF64D" w14:textId="77777777" w:rsidR="001236DC" w:rsidRPr="0009182C" w:rsidRDefault="001236DC" w:rsidP="001236DC">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1236DC" w:rsidRPr="00644AF6" w14:paraId="4DC71A9E" w14:textId="77777777" w:rsidTr="00644AF6">
        <w:trPr>
          <w:trHeight w:val="6965"/>
        </w:trPr>
        <w:tc>
          <w:tcPr>
            <w:tcW w:w="9377" w:type="dxa"/>
            <w:shd w:val="clear" w:color="auto" w:fill="F2F2F2"/>
          </w:tcPr>
          <w:p w14:paraId="7821BBD0" w14:textId="77777777" w:rsidR="001236DC" w:rsidRPr="00644AF6" w:rsidRDefault="001236DC" w:rsidP="00D450C6">
            <w:pPr>
              <w:spacing w:after="0" w:line="240" w:lineRule="auto"/>
              <w:ind w:left="34" w:hanging="34"/>
              <w:jc w:val="both"/>
              <w:rPr>
                <w:rFonts w:ascii="Cambria" w:hAnsi="Cambria"/>
                <w:sz w:val="20"/>
                <w:szCs w:val="20"/>
                <w:lang w:val="pt-BR"/>
              </w:rPr>
            </w:pPr>
            <w:r w:rsidRPr="00644AF6">
              <w:rPr>
                <w:rFonts w:ascii="Cambria" w:hAnsi="Cambria"/>
                <w:b/>
                <w:bCs/>
                <w:sz w:val="20"/>
                <w:szCs w:val="20"/>
                <w:lang w:val="pt-BR"/>
              </w:rPr>
              <w:t>Víctima (s):</w:t>
            </w:r>
            <w:r w:rsidRPr="00644AF6">
              <w:rPr>
                <w:rFonts w:ascii="Cambria" w:hAnsi="Cambria"/>
                <w:sz w:val="20"/>
                <w:szCs w:val="20"/>
                <w:lang w:val="pt-BR"/>
              </w:rPr>
              <w:t xml:space="preserve"> Silvia Mónica Severini</w:t>
            </w:r>
          </w:p>
          <w:p w14:paraId="412F2495" w14:textId="77777777" w:rsidR="001236DC" w:rsidRPr="00644AF6" w:rsidRDefault="001236DC" w:rsidP="00D450C6">
            <w:pPr>
              <w:spacing w:after="0" w:line="240" w:lineRule="auto"/>
              <w:ind w:left="34" w:hanging="34"/>
              <w:jc w:val="both"/>
              <w:rPr>
                <w:rFonts w:ascii="Cambria" w:hAnsi="Cambria"/>
                <w:sz w:val="20"/>
                <w:szCs w:val="20"/>
                <w:lang w:val="es-419"/>
              </w:rPr>
            </w:pPr>
            <w:r w:rsidRPr="00644AF6">
              <w:rPr>
                <w:rFonts w:ascii="Cambria" w:hAnsi="Cambria"/>
                <w:b/>
                <w:bCs/>
                <w:sz w:val="20"/>
                <w:szCs w:val="20"/>
                <w:lang w:val="es-419"/>
              </w:rPr>
              <w:t>Peticionario (s):</w:t>
            </w:r>
            <w:r w:rsidRPr="00644AF6">
              <w:rPr>
                <w:rFonts w:ascii="Cambria" w:hAnsi="Cambria"/>
                <w:sz w:val="20"/>
                <w:szCs w:val="20"/>
                <w:lang w:val="es-419"/>
              </w:rPr>
              <w:t xml:space="preserve"> </w:t>
            </w:r>
            <w:r w:rsidRPr="00644AF6">
              <w:rPr>
                <w:rFonts w:ascii="Cambria" w:hAnsi="Cambria" w:cs="Segoe UI"/>
                <w:color w:val="000000"/>
                <w:sz w:val="20"/>
                <w:szCs w:val="20"/>
                <w:lang w:val="es-VE"/>
              </w:rPr>
              <w:t>Elena Carmen Moreno y Myriam Carsen</w:t>
            </w:r>
          </w:p>
          <w:p w14:paraId="489B3215" w14:textId="77777777" w:rsidR="001236DC" w:rsidRPr="00644AF6" w:rsidRDefault="001236DC" w:rsidP="00D450C6">
            <w:pPr>
              <w:spacing w:after="0" w:line="240" w:lineRule="auto"/>
              <w:ind w:left="34" w:hanging="34"/>
              <w:jc w:val="both"/>
              <w:rPr>
                <w:rFonts w:ascii="Cambria" w:hAnsi="Cambria"/>
                <w:sz w:val="20"/>
                <w:szCs w:val="20"/>
                <w:lang w:val="es-419"/>
              </w:rPr>
            </w:pPr>
            <w:r w:rsidRPr="00644AF6">
              <w:rPr>
                <w:rFonts w:ascii="Cambria" w:hAnsi="Cambria"/>
                <w:b/>
                <w:bCs/>
                <w:sz w:val="20"/>
                <w:szCs w:val="20"/>
                <w:lang w:val="es-419"/>
              </w:rPr>
              <w:t>Estado:</w:t>
            </w:r>
            <w:r w:rsidRPr="00644AF6">
              <w:rPr>
                <w:rFonts w:ascii="Cambria" w:hAnsi="Cambria"/>
                <w:sz w:val="20"/>
                <w:szCs w:val="20"/>
                <w:lang w:val="es-419"/>
              </w:rPr>
              <w:t xml:space="preserve"> Argentina</w:t>
            </w:r>
          </w:p>
          <w:p w14:paraId="04DD3430" w14:textId="77777777" w:rsidR="001236DC" w:rsidRPr="00644AF6" w:rsidRDefault="001236DC" w:rsidP="00D450C6">
            <w:pPr>
              <w:spacing w:after="0" w:line="240" w:lineRule="auto"/>
              <w:ind w:left="34" w:hanging="34"/>
              <w:jc w:val="both"/>
              <w:rPr>
                <w:rFonts w:ascii="Cambria" w:hAnsi="Cambria"/>
                <w:sz w:val="20"/>
                <w:szCs w:val="20"/>
                <w:lang w:val="es-419"/>
              </w:rPr>
            </w:pPr>
            <w:r w:rsidRPr="00644AF6">
              <w:rPr>
                <w:rFonts w:ascii="Cambria" w:hAnsi="Cambria"/>
                <w:b/>
                <w:bCs/>
                <w:sz w:val="20"/>
                <w:szCs w:val="20"/>
                <w:lang w:val="es-419"/>
              </w:rPr>
              <w:t>Fecha de inicio de las negociaciones:</w:t>
            </w:r>
            <w:r w:rsidRPr="00644AF6">
              <w:rPr>
                <w:rFonts w:ascii="Cambria" w:hAnsi="Cambria"/>
                <w:sz w:val="20"/>
                <w:szCs w:val="20"/>
                <w:lang w:val="es-419"/>
              </w:rPr>
              <w:t xml:space="preserve"> 9 de febrero de 2022</w:t>
            </w:r>
          </w:p>
          <w:p w14:paraId="3527BFC6" w14:textId="77777777" w:rsidR="001236DC" w:rsidRPr="00644AF6" w:rsidRDefault="001236DC" w:rsidP="00D450C6">
            <w:pPr>
              <w:spacing w:after="0" w:line="240" w:lineRule="auto"/>
              <w:ind w:left="34" w:hanging="34"/>
              <w:jc w:val="both"/>
              <w:rPr>
                <w:rFonts w:ascii="Cambria" w:hAnsi="Cambria"/>
                <w:sz w:val="20"/>
                <w:szCs w:val="20"/>
                <w:lang w:val="es-419"/>
              </w:rPr>
            </w:pPr>
            <w:r w:rsidRPr="00644AF6">
              <w:rPr>
                <w:rFonts w:ascii="Cambria" w:hAnsi="Cambria"/>
                <w:b/>
                <w:bCs/>
                <w:sz w:val="20"/>
                <w:szCs w:val="20"/>
                <w:lang w:val="es-419"/>
              </w:rPr>
              <w:t>Fecha de Firma de ASA:</w:t>
            </w:r>
            <w:r w:rsidRPr="00644AF6">
              <w:rPr>
                <w:rFonts w:ascii="Cambria" w:hAnsi="Cambria"/>
                <w:sz w:val="20"/>
                <w:szCs w:val="20"/>
                <w:lang w:val="es-419"/>
              </w:rPr>
              <w:t xml:space="preserve"> </w:t>
            </w:r>
            <w:r w:rsidRPr="00644AF6">
              <w:rPr>
                <w:rFonts w:ascii="Cambria" w:hAnsi="Cambria" w:cs="Segoe UI"/>
                <w:color w:val="000000"/>
                <w:sz w:val="20"/>
                <w:szCs w:val="20"/>
                <w:lang w:val="es-VE"/>
              </w:rPr>
              <w:t>23 de febrero de 2022</w:t>
            </w:r>
          </w:p>
          <w:p w14:paraId="50F4DA75" w14:textId="77777777" w:rsidR="001236DC" w:rsidRPr="00644AF6" w:rsidRDefault="001236DC" w:rsidP="00D450C6">
            <w:pPr>
              <w:spacing w:after="0" w:line="240" w:lineRule="auto"/>
              <w:ind w:left="34" w:right="90" w:hanging="34"/>
              <w:rPr>
                <w:rFonts w:ascii="Cambria" w:hAnsi="Cambria"/>
                <w:b/>
                <w:bCs/>
                <w:sz w:val="20"/>
                <w:szCs w:val="20"/>
                <w:lang w:val="es-419"/>
              </w:rPr>
            </w:pPr>
            <w:r w:rsidRPr="00644AF6">
              <w:rPr>
                <w:rFonts w:ascii="Cambria" w:hAnsi="Cambria"/>
                <w:b/>
                <w:bCs/>
                <w:sz w:val="20"/>
                <w:szCs w:val="20"/>
                <w:lang w:val="es-419"/>
              </w:rPr>
              <w:t xml:space="preserve">Informe de Admisibilidad Nº: </w:t>
            </w:r>
            <w:hyperlink r:id="rId13" w:history="1">
              <w:r w:rsidRPr="00644AF6">
                <w:rPr>
                  <w:rStyle w:val="Hyperlink"/>
                  <w:rFonts w:ascii="Cambria" w:hAnsi="Cambria"/>
                  <w:b/>
                  <w:bCs/>
                  <w:color w:val="auto"/>
                  <w:sz w:val="20"/>
                  <w:szCs w:val="20"/>
                  <w:lang w:val="es-419"/>
                </w:rPr>
                <w:t>192/19</w:t>
              </w:r>
            </w:hyperlink>
          </w:p>
          <w:p w14:paraId="5C6D97F0" w14:textId="77777777" w:rsidR="001236DC" w:rsidRPr="00644AF6" w:rsidRDefault="001236DC" w:rsidP="00D450C6">
            <w:pPr>
              <w:spacing w:after="0" w:line="240" w:lineRule="auto"/>
              <w:ind w:left="34" w:right="270" w:hanging="34"/>
              <w:jc w:val="both"/>
              <w:rPr>
                <w:rFonts w:ascii="Cambria" w:hAnsi="Cambria"/>
                <w:sz w:val="20"/>
                <w:szCs w:val="20"/>
                <w:lang w:val="es-419"/>
              </w:rPr>
            </w:pPr>
            <w:r w:rsidRPr="00644AF6">
              <w:rPr>
                <w:rFonts w:ascii="Cambria" w:hAnsi="Cambria"/>
                <w:b/>
                <w:bCs/>
                <w:sz w:val="20"/>
                <w:szCs w:val="20"/>
                <w:lang w:val="es-419"/>
              </w:rPr>
              <w:t xml:space="preserve">Informe de Acuerdo de Solución Amistosa Nº: </w:t>
            </w:r>
            <w:r w:rsidRPr="00644AF6">
              <w:rPr>
                <w:rFonts w:ascii="Cambria" w:hAnsi="Cambria"/>
                <w:b/>
                <w:bCs/>
                <w:sz w:val="20"/>
                <w:szCs w:val="20"/>
                <w:u w:val="single"/>
                <w:lang w:val="es-419"/>
              </w:rPr>
              <w:t>349/22</w:t>
            </w:r>
            <w:r w:rsidRPr="00644AF6">
              <w:rPr>
                <w:rFonts w:ascii="Cambria" w:hAnsi="Cambria"/>
                <w:sz w:val="20"/>
                <w:szCs w:val="20"/>
                <w:lang w:val="es-419"/>
              </w:rPr>
              <w:t>,</w:t>
            </w:r>
            <w:r w:rsidRPr="00644AF6">
              <w:rPr>
                <w:rFonts w:ascii="Cambria" w:hAnsi="Cambria"/>
                <w:b/>
                <w:bCs/>
                <w:sz w:val="20"/>
                <w:szCs w:val="20"/>
                <w:lang w:val="es-419"/>
              </w:rPr>
              <w:t xml:space="preserve"> </w:t>
            </w:r>
            <w:r w:rsidRPr="00644AF6">
              <w:rPr>
                <w:rFonts w:ascii="Cambria" w:hAnsi="Cambria"/>
                <w:sz w:val="20"/>
                <w:szCs w:val="20"/>
                <w:lang w:val="es-419"/>
              </w:rPr>
              <w:t>publicado el 11 de diciembre de 2022</w:t>
            </w:r>
          </w:p>
          <w:p w14:paraId="736ABF6E" w14:textId="77777777" w:rsidR="001236DC" w:rsidRPr="00644AF6" w:rsidRDefault="001236DC" w:rsidP="00D450C6">
            <w:pPr>
              <w:spacing w:after="0" w:line="240" w:lineRule="auto"/>
              <w:ind w:left="34" w:right="270" w:hanging="34"/>
              <w:jc w:val="both"/>
              <w:rPr>
                <w:rFonts w:ascii="Cambria" w:hAnsi="Cambria"/>
                <w:sz w:val="20"/>
                <w:szCs w:val="20"/>
                <w:lang w:val="es-419"/>
              </w:rPr>
            </w:pPr>
            <w:r w:rsidRPr="00644AF6">
              <w:rPr>
                <w:rFonts w:ascii="Cambria" w:hAnsi="Cambria"/>
                <w:b/>
                <w:bCs/>
                <w:sz w:val="20"/>
                <w:szCs w:val="20"/>
                <w:lang w:val="es-419"/>
              </w:rPr>
              <w:t>Duración estimada de la fase de negociación:</w:t>
            </w:r>
            <w:r w:rsidRPr="00644AF6">
              <w:rPr>
                <w:rFonts w:ascii="Cambria" w:hAnsi="Cambria"/>
                <w:sz w:val="20"/>
                <w:szCs w:val="20"/>
                <w:lang w:val="es-419"/>
              </w:rPr>
              <w:t xml:space="preserve"> 14 días </w:t>
            </w:r>
          </w:p>
          <w:p w14:paraId="613ED8B8" w14:textId="77777777" w:rsidR="001236DC" w:rsidRPr="00644AF6" w:rsidRDefault="001236DC" w:rsidP="00D450C6">
            <w:pPr>
              <w:spacing w:after="0" w:line="240" w:lineRule="auto"/>
              <w:ind w:left="34" w:hanging="34"/>
              <w:jc w:val="both"/>
              <w:rPr>
                <w:rFonts w:ascii="Cambria" w:hAnsi="Cambria"/>
                <w:sz w:val="20"/>
                <w:szCs w:val="20"/>
                <w:lang w:val="es-419"/>
              </w:rPr>
            </w:pPr>
            <w:r w:rsidRPr="00644AF6">
              <w:rPr>
                <w:rFonts w:ascii="Cambria" w:hAnsi="Cambria"/>
                <w:b/>
                <w:bCs/>
                <w:sz w:val="20"/>
                <w:szCs w:val="20"/>
                <w:lang w:val="es-419"/>
              </w:rPr>
              <w:t xml:space="preserve">Relatoría vinculada: </w:t>
            </w:r>
            <w:r w:rsidRPr="00644AF6">
              <w:rPr>
                <w:rFonts w:ascii="Cambria" w:hAnsi="Cambria"/>
                <w:sz w:val="20"/>
                <w:szCs w:val="20"/>
                <w:lang w:val="es-419"/>
              </w:rPr>
              <w:t>N/A</w:t>
            </w:r>
          </w:p>
          <w:p w14:paraId="430CEB20" w14:textId="77777777" w:rsidR="001236DC" w:rsidRPr="00644AF6" w:rsidRDefault="001236DC" w:rsidP="00D450C6">
            <w:pPr>
              <w:spacing w:after="0" w:line="240" w:lineRule="auto"/>
              <w:ind w:left="34" w:right="270" w:hanging="34"/>
              <w:jc w:val="both"/>
              <w:rPr>
                <w:rFonts w:ascii="Cambria" w:hAnsi="Cambria"/>
                <w:sz w:val="20"/>
                <w:szCs w:val="20"/>
                <w:lang w:val="es-419"/>
              </w:rPr>
            </w:pPr>
            <w:r w:rsidRPr="00644AF6">
              <w:rPr>
                <w:rFonts w:ascii="Cambria" w:hAnsi="Cambria"/>
                <w:b/>
                <w:bCs/>
                <w:sz w:val="20"/>
                <w:szCs w:val="20"/>
                <w:lang w:val="es-419"/>
              </w:rPr>
              <w:t>Temas:</w:t>
            </w:r>
            <w:r w:rsidRPr="00644AF6">
              <w:rPr>
                <w:rFonts w:ascii="Cambria" w:hAnsi="Cambria"/>
                <w:sz w:val="20"/>
                <w:szCs w:val="20"/>
                <w:lang w:val="es-419"/>
              </w:rPr>
              <w:t xml:space="preserve"> Garantías Judiciales / Igualdad ante la Ley/ Protección Judicial</w:t>
            </w:r>
          </w:p>
          <w:p w14:paraId="61A5141F" w14:textId="77777777" w:rsidR="001236DC" w:rsidRPr="00644AF6" w:rsidRDefault="001236DC" w:rsidP="00D450C6">
            <w:pPr>
              <w:spacing w:after="0" w:line="240" w:lineRule="auto"/>
              <w:ind w:left="34" w:right="270" w:firstLine="53"/>
              <w:jc w:val="both"/>
              <w:rPr>
                <w:rFonts w:ascii="Cambria" w:hAnsi="Cambria"/>
                <w:sz w:val="20"/>
                <w:szCs w:val="20"/>
                <w:lang w:val="es-419"/>
              </w:rPr>
            </w:pPr>
          </w:p>
          <w:p w14:paraId="1501DFE0" w14:textId="77777777" w:rsidR="001236DC" w:rsidRPr="00644AF6" w:rsidRDefault="001236DC" w:rsidP="00D450C6">
            <w:pPr>
              <w:tabs>
                <w:tab w:val="left" w:pos="1440"/>
              </w:tabs>
              <w:spacing w:after="0" w:line="240" w:lineRule="auto"/>
              <w:ind w:left="34"/>
              <w:jc w:val="both"/>
              <w:rPr>
                <w:rFonts w:ascii="Cambria" w:hAnsi="Cambria"/>
                <w:sz w:val="20"/>
                <w:szCs w:val="20"/>
                <w:lang w:val="es-419"/>
              </w:rPr>
            </w:pPr>
            <w:r w:rsidRPr="00644AF6">
              <w:rPr>
                <w:rFonts w:ascii="Cambria" w:hAnsi="Cambria"/>
                <w:b/>
                <w:bCs/>
                <w:sz w:val="20"/>
                <w:szCs w:val="20"/>
                <w:lang w:val="es-419"/>
              </w:rPr>
              <w:t>Hechos</w:t>
            </w:r>
            <w:r w:rsidRPr="00644AF6">
              <w:rPr>
                <w:rFonts w:ascii="Cambria" w:hAnsi="Cambria"/>
                <w:sz w:val="20"/>
                <w:szCs w:val="20"/>
                <w:lang w:val="es-419"/>
              </w:rPr>
              <w:t xml:space="preserve">: Según lo alegado por la parte </w:t>
            </w:r>
            <w:r w:rsidRPr="00644AF6">
              <w:rPr>
                <w:rFonts w:ascii="Cambria" w:hAnsi="Cambria"/>
                <w:sz w:val="20"/>
                <w:szCs w:val="20"/>
                <w:lang w:val="es-ES"/>
              </w:rPr>
              <w:t xml:space="preserve">peticionaria, la señora Silvia Severini tuvo que salir de Argentina junto con su familia, coaccionada por las circunstancias y como única alternativa para salvaguardar su libertad e integridad en el año 1976. La parte peticionaria afirmó que la presunta víctima antes de su exilio había sido víctima de distintas persecuciones y amenazas por parte de la dictadura militar como consecuencia de su activismo político, el de su esposo y el de sus familias. Al respecto destaca que la señora Silvia Severini había sido una activista estudiantil y política, razón por lo cual había sido detenida en dos oportunidades: la primera en el año 1972 cuando fue procesada bajo la Ley No. 17.401, y en el año 1974, cuando fue detenida y procesada en el marco de una protesta efectuada en la Universidad Tecnológica Nacional por presunta comisión de delitos de daños y resistencia a la autoridad.  Asimismo, había sido cesada de las funciones de su cargo en la Facultad de Filosofía y Letras de la Universidad Nacional de Buenos Aires; amenazada y se le había denegado su solicitud para obtener un pasaporte. </w:t>
            </w:r>
            <w:r w:rsidRPr="00644AF6">
              <w:rPr>
                <w:rFonts w:ascii="Cambria" w:hAnsi="Cambria"/>
                <w:color w:val="000000"/>
                <w:sz w:val="20"/>
                <w:szCs w:val="20"/>
                <w:lang w:val="es-VE"/>
              </w:rPr>
              <w:t>En virtud de estos hechos, la señora Severini presentó una solicitud de otorgamiento del beneficio reglado por la Ley N°. 24.043 ante el Ministerio de Justicia y Derechos Humanos, que fue desestimada.</w:t>
            </w:r>
          </w:p>
          <w:p w14:paraId="03F65C76" w14:textId="77777777" w:rsidR="001236DC" w:rsidRPr="00644AF6" w:rsidRDefault="001236DC" w:rsidP="00D450C6">
            <w:pPr>
              <w:spacing w:after="0" w:line="240" w:lineRule="auto"/>
              <w:ind w:left="34" w:right="270" w:firstLine="53"/>
              <w:jc w:val="both"/>
              <w:rPr>
                <w:rFonts w:ascii="Cambria" w:hAnsi="Cambria"/>
                <w:sz w:val="20"/>
                <w:szCs w:val="20"/>
                <w:lang w:val="es-CO"/>
              </w:rPr>
            </w:pPr>
          </w:p>
          <w:p w14:paraId="1888A8F9" w14:textId="6B9F7A2F" w:rsidR="001236DC" w:rsidRPr="00644AF6" w:rsidRDefault="001236DC" w:rsidP="00644AF6">
            <w:pPr>
              <w:autoSpaceDE w:val="0"/>
              <w:autoSpaceDN w:val="0"/>
              <w:adjustRightInd w:val="0"/>
              <w:spacing w:after="0" w:line="240" w:lineRule="auto"/>
              <w:ind w:left="34"/>
              <w:jc w:val="both"/>
              <w:rPr>
                <w:rFonts w:ascii="Cambria" w:eastAsia="Batang" w:hAnsi="Cambria" w:cs="Cambria"/>
                <w:color w:val="080808"/>
                <w:sz w:val="20"/>
                <w:szCs w:val="20"/>
                <w:lang w:val="es-CO" w:eastAsia="pt-BR"/>
              </w:rPr>
            </w:pPr>
            <w:r w:rsidRPr="00644AF6">
              <w:rPr>
                <w:rFonts w:ascii="Cambria" w:hAnsi="Cambria"/>
                <w:b/>
                <w:bCs/>
                <w:sz w:val="20"/>
                <w:szCs w:val="20"/>
                <w:lang w:val="es-419"/>
              </w:rPr>
              <w:t>Derechos declarados admisibles:</w:t>
            </w:r>
            <w:r w:rsidRPr="00644AF6">
              <w:rPr>
                <w:rFonts w:ascii="Cambria" w:hAnsi="Cambria"/>
                <w:sz w:val="20"/>
                <w:szCs w:val="20"/>
                <w:lang w:val="es-419"/>
              </w:rPr>
              <w:t xml:space="preserve"> el 6 de diciembre de 2019 la CIDH se declaró competente para analizar la presunta violación de los derechos reconocidos </w:t>
            </w:r>
            <w:r w:rsidRPr="00644AF6">
              <w:rPr>
                <w:rFonts w:ascii="Cambria" w:hAnsi="Cambria" w:cs="Segoe UI"/>
                <w:color w:val="000000"/>
                <w:sz w:val="20"/>
                <w:szCs w:val="20"/>
                <w:lang w:val="es-VE"/>
              </w:rPr>
              <w:t>en los artículos 8 (garantías judiciales), 24 (igualdad ante la ley) y 25 (protección judicial), de la Convención en relación con la obligación establecida en el artículo 1.1 del mismo instrumento.</w:t>
            </w:r>
          </w:p>
        </w:tc>
      </w:tr>
    </w:tbl>
    <w:p w14:paraId="6A550825" w14:textId="77777777" w:rsidR="001236DC" w:rsidRPr="0009182C" w:rsidRDefault="001236DC" w:rsidP="001236DC">
      <w:pPr>
        <w:spacing w:after="0" w:line="240" w:lineRule="auto"/>
        <w:contextualSpacing/>
        <w:jc w:val="both"/>
        <w:rPr>
          <w:rFonts w:ascii="Cambria" w:eastAsia="Batang" w:hAnsi="Cambria" w:cs="Calibri Light"/>
          <w:b/>
          <w:color w:val="080808"/>
          <w:lang w:val="es-CO"/>
        </w:rPr>
      </w:pPr>
    </w:p>
    <w:p w14:paraId="5B267118" w14:textId="77777777" w:rsidR="001236DC" w:rsidRPr="0009182C" w:rsidRDefault="001236DC" w:rsidP="001236DC">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6CCD9702" w14:textId="77777777" w:rsidR="001236DC" w:rsidRPr="0009182C" w:rsidRDefault="001236DC" w:rsidP="001236DC">
      <w:pPr>
        <w:spacing w:after="0" w:line="240" w:lineRule="auto"/>
        <w:jc w:val="both"/>
        <w:rPr>
          <w:rFonts w:ascii="Cambria" w:hAnsi="Cambria"/>
          <w:color w:val="080808"/>
          <w:lang w:val="es-CO"/>
        </w:rPr>
      </w:pPr>
    </w:p>
    <w:p w14:paraId="26271A25" w14:textId="2D5E8925" w:rsidR="001236DC" w:rsidRPr="00644AF6" w:rsidRDefault="001236DC" w:rsidP="001236DC">
      <w:pPr>
        <w:numPr>
          <w:ilvl w:val="0"/>
          <w:numId w:val="38"/>
        </w:numPr>
        <w:spacing w:after="0" w:line="240" w:lineRule="auto"/>
        <w:ind w:left="0" w:firstLine="709"/>
        <w:jc w:val="both"/>
        <w:rPr>
          <w:rFonts w:ascii="Cambria" w:eastAsia="Batang" w:hAnsi="Cambria" w:cs="Calibri Light"/>
          <w:color w:val="080808"/>
          <w:sz w:val="20"/>
          <w:szCs w:val="20"/>
          <w:lang w:val="es-CO"/>
        </w:rPr>
      </w:pPr>
      <w:r w:rsidRPr="00644AF6">
        <w:rPr>
          <w:rFonts w:ascii="Cambria" w:eastAsia="Batang" w:hAnsi="Cambria"/>
          <w:bCs/>
          <w:color w:val="080808"/>
          <w:sz w:val="20"/>
          <w:szCs w:val="20"/>
          <w:lang w:val="es-CO"/>
        </w:rPr>
        <w:t>El 23 de febrero de 2022, las partes firmaron un acuerdo de solución amistosa</w:t>
      </w:r>
      <w:r w:rsidR="009E7D66" w:rsidRPr="00644AF6">
        <w:rPr>
          <w:rFonts w:ascii="Cambria" w:eastAsia="Batang" w:hAnsi="Cambria"/>
          <w:bCs/>
          <w:color w:val="080808"/>
          <w:sz w:val="20"/>
          <w:szCs w:val="20"/>
          <w:lang w:val="es-CO"/>
        </w:rPr>
        <w:t>.</w:t>
      </w:r>
    </w:p>
    <w:p w14:paraId="4522BF01" w14:textId="77777777" w:rsidR="001236DC" w:rsidRPr="00644AF6" w:rsidRDefault="001236DC" w:rsidP="001236DC">
      <w:pPr>
        <w:spacing w:after="0" w:line="240" w:lineRule="auto"/>
        <w:jc w:val="both"/>
        <w:rPr>
          <w:rFonts w:ascii="Cambria" w:eastAsia="Batang" w:hAnsi="Cambria"/>
          <w:bCs/>
          <w:color w:val="080808"/>
          <w:sz w:val="20"/>
          <w:szCs w:val="20"/>
          <w:lang w:val="es-CO"/>
        </w:rPr>
      </w:pPr>
    </w:p>
    <w:p w14:paraId="610660BA" w14:textId="77777777" w:rsidR="001236DC" w:rsidRPr="00644AF6" w:rsidRDefault="001236DC" w:rsidP="001236DC">
      <w:pPr>
        <w:pStyle w:val="ListParagraph"/>
        <w:spacing w:after="0" w:line="240" w:lineRule="auto"/>
        <w:ind w:left="0" w:firstLine="709"/>
        <w:jc w:val="both"/>
        <w:rPr>
          <w:rFonts w:ascii="Cambria" w:hAnsi="Cambria"/>
          <w:sz w:val="20"/>
          <w:szCs w:val="20"/>
          <w:lang w:val="es-AR"/>
        </w:rPr>
      </w:pPr>
      <w:r w:rsidRPr="00644AF6">
        <w:rPr>
          <w:rFonts w:ascii="Cambria" w:eastAsia="Batang" w:hAnsi="Cambria" w:cs="Calibri Light"/>
          <w:color w:val="080808"/>
          <w:sz w:val="20"/>
          <w:szCs w:val="20"/>
          <w:lang w:val="es-CO"/>
        </w:rPr>
        <w:t xml:space="preserve">2.        </w:t>
      </w:r>
      <w:r w:rsidRPr="00644AF6">
        <w:rPr>
          <w:rFonts w:ascii="Cambria" w:hAnsi="Cambria"/>
          <w:sz w:val="20"/>
          <w:szCs w:val="20"/>
          <w:lang w:val="es-AR"/>
        </w:rPr>
        <w:t>El 11 de diciembre de 2022, la Comisión aprobó el acuerdo suscrito por las partes, mediante el Informe No. 349/22.</w:t>
      </w:r>
    </w:p>
    <w:p w14:paraId="4CB9B7D4" w14:textId="77777777" w:rsidR="001236DC" w:rsidRDefault="001236DC" w:rsidP="001236DC">
      <w:pPr>
        <w:pStyle w:val="ListParagraph"/>
        <w:spacing w:after="0" w:line="240" w:lineRule="auto"/>
        <w:ind w:left="0" w:firstLine="709"/>
        <w:jc w:val="both"/>
        <w:rPr>
          <w:rFonts w:ascii="Cambria" w:hAnsi="Cambria"/>
          <w:lang w:val="es-AR"/>
        </w:rPr>
      </w:pPr>
    </w:p>
    <w:p w14:paraId="384985F4" w14:textId="77777777" w:rsidR="009C5710" w:rsidRDefault="009C5710" w:rsidP="001236DC">
      <w:pPr>
        <w:pStyle w:val="ListParagraph"/>
        <w:spacing w:after="0" w:line="240" w:lineRule="auto"/>
        <w:ind w:left="0" w:firstLine="709"/>
        <w:jc w:val="both"/>
        <w:rPr>
          <w:rFonts w:ascii="Cambria" w:hAnsi="Cambria"/>
          <w:lang w:val="es-AR"/>
        </w:rPr>
      </w:pPr>
    </w:p>
    <w:p w14:paraId="0BCE2E50" w14:textId="77777777" w:rsidR="001236DC" w:rsidRPr="00336FFF" w:rsidRDefault="001236DC" w:rsidP="001236DC">
      <w:pPr>
        <w:pStyle w:val="ListParagraph"/>
        <w:numPr>
          <w:ilvl w:val="0"/>
          <w:numId w:val="37"/>
        </w:numPr>
        <w:spacing w:after="0" w:line="240" w:lineRule="auto"/>
        <w:ind w:left="0" w:firstLine="709"/>
        <w:jc w:val="both"/>
        <w:rPr>
          <w:rFonts w:ascii="Cambria" w:eastAsia="Batang" w:hAnsi="Cambria" w:cs="Calibri Light"/>
          <w:b/>
          <w:color w:val="080808"/>
          <w:lang w:val="es-CO"/>
        </w:rPr>
      </w:pPr>
      <w:r w:rsidRPr="00336FFF">
        <w:rPr>
          <w:rFonts w:ascii="Cambria" w:eastAsia="Batang" w:hAnsi="Cambria" w:cs="Calibri Light"/>
          <w:b/>
          <w:color w:val="080808"/>
          <w:lang w:val="es-CO"/>
        </w:rPr>
        <w:lastRenderedPageBreak/>
        <w:t>ANÁLISIS DEL CUMPLIMIENTO DE LAS CLÁUSULAS DEL ACUERDO DE SOLUCIÓN AMISTOSA</w:t>
      </w:r>
    </w:p>
    <w:p w14:paraId="7FD374EC" w14:textId="77777777" w:rsidR="001236DC" w:rsidRDefault="001236DC" w:rsidP="001236DC">
      <w:pPr>
        <w:pStyle w:val="ListParagraph"/>
        <w:spacing w:after="0" w:line="240" w:lineRule="auto"/>
        <w:ind w:left="0" w:firstLine="709"/>
        <w:jc w:val="both"/>
        <w:rPr>
          <w:rFonts w:ascii="Cambria" w:hAnsi="Cambria"/>
          <w:lang w:val="es-AR"/>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1236DC" w:rsidRPr="009C5710" w14:paraId="7269F30A" w14:textId="77777777" w:rsidTr="00D450C6">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6E3974F9" w14:textId="77777777" w:rsidR="001236DC" w:rsidRPr="00644AF6" w:rsidRDefault="001236DC" w:rsidP="00D450C6">
            <w:pPr>
              <w:tabs>
                <w:tab w:val="center" w:pos="2049"/>
              </w:tabs>
              <w:spacing w:after="0" w:line="240" w:lineRule="auto"/>
              <w:jc w:val="center"/>
              <w:rPr>
                <w:rFonts w:ascii="Cambria" w:eastAsia="Batang" w:hAnsi="Cambria"/>
                <w:b/>
                <w:color w:val="080808"/>
                <w:sz w:val="20"/>
                <w:szCs w:val="20"/>
                <w:lang w:val="es-CO"/>
              </w:rPr>
            </w:pPr>
            <w:r w:rsidRPr="00644AF6">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D495C62" w14:textId="77777777" w:rsidR="001236DC" w:rsidRPr="00644AF6" w:rsidRDefault="001236DC" w:rsidP="00D450C6">
            <w:pPr>
              <w:spacing w:after="0" w:line="240" w:lineRule="auto"/>
              <w:jc w:val="center"/>
              <w:rPr>
                <w:rFonts w:ascii="Cambria" w:eastAsia="Batang" w:hAnsi="Cambria"/>
                <w:b/>
                <w:color w:val="080808"/>
                <w:sz w:val="20"/>
                <w:szCs w:val="20"/>
                <w:lang w:val="es-CO"/>
              </w:rPr>
            </w:pPr>
            <w:r w:rsidRPr="00644AF6">
              <w:rPr>
                <w:rFonts w:ascii="Cambria" w:eastAsia="Batang" w:hAnsi="Cambria"/>
                <w:b/>
                <w:color w:val="080808"/>
                <w:sz w:val="20"/>
                <w:szCs w:val="20"/>
                <w:lang w:val="es-CO"/>
              </w:rPr>
              <w:t>Estado de Cumplimiento</w:t>
            </w:r>
          </w:p>
        </w:tc>
      </w:tr>
      <w:tr w:rsidR="001236DC" w:rsidRPr="009C5710" w14:paraId="70BC733E" w14:textId="77777777" w:rsidTr="00D450C6">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659DC5DC" w14:textId="77777777" w:rsidR="001236DC" w:rsidRPr="00644AF6" w:rsidRDefault="001236DC" w:rsidP="00D450C6">
            <w:pPr>
              <w:spacing w:after="0" w:line="240" w:lineRule="auto"/>
              <w:rPr>
                <w:rFonts w:ascii="Cambria" w:eastAsia="Batang" w:hAnsi="Cambria"/>
                <w:b/>
                <w:color w:val="000000"/>
                <w:sz w:val="20"/>
                <w:szCs w:val="20"/>
                <w:lang w:val="es-CO" w:eastAsia="es-ES_tradnl"/>
              </w:rPr>
            </w:pPr>
            <w:r w:rsidRPr="00644AF6">
              <w:rPr>
                <w:rFonts w:ascii="Cambria" w:eastAsia="Batang" w:hAnsi="Cambria"/>
                <w:b/>
                <w:color w:val="000000"/>
                <w:sz w:val="20"/>
                <w:szCs w:val="20"/>
                <w:lang w:val="es-CO" w:eastAsia="es-ES_tradnl"/>
              </w:rPr>
              <w:t>II. Medidas a adoptar</w:t>
            </w:r>
          </w:p>
        </w:tc>
      </w:tr>
      <w:tr w:rsidR="001236DC" w:rsidRPr="009C5710" w14:paraId="17572DC3" w14:textId="77777777" w:rsidTr="00D450C6">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089E0810" w14:textId="1EC02975" w:rsidR="001236DC" w:rsidRPr="00644AF6" w:rsidRDefault="001236DC" w:rsidP="00D450C6">
            <w:pPr>
              <w:spacing w:after="0" w:line="240" w:lineRule="auto"/>
              <w:jc w:val="both"/>
              <w:rPr>
                <w:rFonts w:ascii="Cambria" w:eastAsia="Times New Roman" w:hAnsi="Cambria"/>
                <w:color w:val="080808"/>
                <w:sz w:val="20"/>
                <w:szCs w:val="20"/>
                <w:lang w:val="es-CO"/>
              </w:rPr>
            </w:pPr>
            <w:r w:rsidRPr="00644AF6">
              <w:rPr>
                <w:rFonts w:ascii="Cambria" w:hAnsi="Cambria"/>
                <w:sz w:val="20"/>
                <w:szCs w:val="20"/>
                <w:lang w:val="es-419"/>
              </w:rPr>
              <w:t xml:space="preserve">1. Las partes convienen en que se otorgará una reparación pecuniaria </w:t>
            </w:r>
            <w:r w:rsidR="00817EFE" w:rsidRPr="00817EFE">
              <w:rPr>
                <w:rFonts w:ascii="Cambria" w:hAnsi="Cambria"/>
                <w:sz w:val="20"/>
                <w:szCs w:val="20"/>
                <w:lang w:val="es-419"/>
              </w:rPr>
              <w:t>de acuerdo con el</w:t>
            </w:r>
            <w:r w:rsidRPr="00644AF6">
              <w:rPr>
                <w:rFonts w:ascii="Cambria" w:hAnsi="Cambria"/>
                <w:sz w:val="20"/>
                <w:szCs w:val="20"/>
                <w:lang w:val="es-419"/>
              </w:rPr>
              <w:t xml:space="preserve"> esquema previsto por la Ley N° 24.043, considerando a tal efecto la totalidad del período en el que la señora Silvia Mónica Severini permaneció en exilio forzoso, según el dictamen IF-2022-08499390-APN-SSPYEIDH#MJ. Esto es, desde el 11 de enero de 1977 al 28 de octubre de 1983.</w:t>
            </w:r>
          </w:p>
        </w:tc>
        <w:tc>
          <w:tcPr>
            <w:tcW w:w="1701" w:type="dxa"/>
            <w:tcBorders>
              <w:top w:val="single" w:sz="4" w:space="0" w:color="auto"/>
              <w:left w:val="single" w:sz="4" w:space="0" w:color="auto"/>
              <w:bottom w:val="single" w:sz="4" w:space="0" w:color="auto"/>
              <w:right w:val="single" w:sz="4" w:space="0" w:color="auto"/>
            </w:tcBorders>
            <w:vAlign w:val="center"/>
          </w:tcPr>
          <w:p w14:paraId="31A80F14" w14:textId="77777777" w:rsidR="001236DC" w:rsidRPr="00644AF6" w:rsidRDefault="001236DC" w:rsidP="00D450C6">
            <w:pPr>
              <w:spacing w:after="0" w:line="240" w:lineRule="auto"/>
              <w:jc w:val="center"/>
              <w:rPr>
                <w:rFonts w:ascii="Cambria" w:eastAsia="Batang" w:hAnsi="Cambria"/>
                <w:b/>
                <w:color w:val="080808"/>
                <w:sz w:val="20"/>
                <w:szCs w:val="20"/>
                <w:lang w:val="es-CO"/>
              </w:rPr>
            </w:pPr>
            <w:r w:rsidRPr="00644AF6">
              <w:rPr>
                <w:rFonts w:ascii="Cambria" w:eastAsia="Batang" w:hAnsi="Cambria"/>
                <w:b/>
                <w:color w:val="000000"/>
                <w:sz w:val="20"/>
                <w:szCs w:val="20"/>
                <w:lang w:val="es-CO" w:eastAsia="es-ES_tradnl"/>
              </w:rPr>
              <w:t>Total</w:t>
            </w:r>
            <w:r w:rsidRPr="00644AF6">
              <w:rPr>
                <w:rStyle w:val="FootnoteReference"/>
                <w:rFonts w:ascii="Cambria" w:eastAsia="Batang" w:hAnsi="Cambria"/>
                <w:b/>
                <w:color w:val="080808"/>
                <w:sz w:val="20"/>
                <w:szCs w:val="20"/>
                <w:lang w:val="es-CO"/>
              </w:rPr>
              <w:footnoteReference w:id="1"/>
            </w:r>
          </w:p>
        </w:tc>
      </w:tr>
      <w:tr w:rsidR="001236DC" w:rsidRPr="009C5710" w14:paraId="44DCEE02" w14:textId="77777777" w:rsidTr="00D450C6">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06834DDC" w14:textId="77777777" w:rsidR="001236DC" w:rsidRPr="00644AF6" w:rsidRDefault="001236DC" w:rsidP="00D450C6">
            <w:pPr>
              <w:spacing w:after="0" w:line="240" w:lineRule="auto"/>
              <w:jc w:val="both"/>
              <w:rPr>
                <w:rFonts w:ascii="Cambria" w:hAnsi="Cambria"/>
                <w:color w:val="080808"/>
                <w:sz w:val="20"/>
                <w:szCs w:val="20"/>
                <w:lang w:val="es-CO"/>
              </w:rPr>
            </w:pPr>
            <w:r w:rsidRPr="00644AF6">
              <w:rPr>
                <w:rFonts w:ascii="Cambria" w:hAnsi="Cambria"/>
                <w:sz w:val="20"/>
                <w:szCs w:val="20"/>
                <w:lang w:val="es-419"/>
              </w:rPr>
              <w:t>2. El Estado argentino se compromete a que, en el plazo de tres (3) meses desde la publicación en el Boletín Oficial de la República Argentina del Decreto del Poder Ejecutivo Nacional que aprueba el presente acuerdo, se dictará la resolución ministerial otorgando el beneficio reparatorio previsto en la Ley Nº 24.043, sin costas ni gastos adicionales. El monto de la reparación se calculará a la fecha del dictado de esa resolución ministerial.</w:t>
            </w:r>
          </w:p>
        </w:tc>
        <w:tc>
          <w:tcPr>
            <w:tcW w:w="1701" w:type="dxa"/>
            <w:tcBorders>
              <w:top w:val="single" w:sz="4" w:space="0" w:color="auto"/>
              <w:left w:val="single" w:sz="4" w:space="0" w:color="auto"/>
              <w:bottom w:val="single" w:sz="4" w:space="0" w:color="auto"/>
              <w:right w:val="single" w:sz="4" w:space="0" w:color="auto"/>
            </w:tcBorders>
            <w:vAlign w:val="center"/>
          </w:tcPr>
          <w:p w14:paraId="764EB75A" w14:textId="77777777" w:rsidR="001236DC" w:rsidRPr="00644AF6" w:rsidRDefault="001236DC" w:rsidP="00D450C6">
            <w:pPr>
              <w:spacing w:after="0" w:line="240" w:lineRule="auto"/>
              <w:jc w:val="center"/>
              <w:rPr>
                <w:rFonts w:ascii="Cambria" w:eastAsia="Batang" w:hAnsi="Cambria"/>
                <w:b/>
                <w:color w:val="080808"/>
                <w:sz w:val="20"/>
                <w:szCs w:val="20"/>
                <w:lang w:val="es-CO"/>
              </w:rPr>
            </w:pPr>
            <w:r w:rsidRPr="00644AF6">
              <w:rPr>
                <w:rFonts w:ascii="Cambria" w:eastAsia="Batang" w:hAnsi="Cambria"/>
                <w:b/>
                <w:bCs/>
                <w:color w:val="000000"/>
                <w:sz w:val="20"/>
                <w:szCs w:val="20"/>
                <w:lang w:val="es-CO" w:eastAsia="es-ES_tradnl"/>
              </w:rPr>
              <w:t>Total</w:t>
            </w:r>
            <w:r w:rsidRPr="00644AF6">
              <w:rPr>
                <w:rStyle w:val="FootnoteReference"/>
                <w:rFonts w:ascii="Cambria" w:eastAsia="Batang" w:hAnsi="Cambria"/>
                <w:b/>
                <w:color w:val="080808"/>
                <w:sz w:val="20"/>
                <w:szCs w:val="20"/>
                <w:lang w:val="es-CO"/>
              </w:rPr>
              <w:footnoteReference w:id="2"/>
            </w:r>
          </w:p>
        </w:tc>
      </w:tr>
      <w:tr w:rsidR="001236DC" w:rsidRPr="009C5710" w14:paraId="25A8D238" w14:textId="77777777" w:rsidTr="00D450C6">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6AA3955F" w14:textId="77777777" w:rsidR="001236DC" w:rsidRPr="00644AF6" w:rsidRDefault="001236DC" w:rsidP="00D450C6">
            <w:pPr>
              <w:spacing w:after="0" w:line="240" w:lineRule="auto"/>
              <w:jc w:val="both"/>
              <w:rPr>
                <w:rFonts w:ascii="Cambria" w:hAnsi="Cambria"/>
                <w:color w:val="080808"/>
                <w:sz w:val="20"/>
                <w:szCs w:val="20"/>
                <w:lang w:val="es-CO"/>
              </w:rPr>
            </w:pPr>
            <w:r w:rsidRPr="00644AF6">
              <w:rPr>
                <w:rFonts w:ascii="Cambria" w:hAnsi="Cambria"/>
                <w:sz w:val="20"/>
                <w:szCs w:val="20"/>
                <w:lang w:val="es-419"/>
              </w:rPr>
              <w:t>3. El Estado también se compromete a respetar el plazo del artículo 30 de la reglamentación del capítulo V de la Ley N° 25.344, previsto en el Decreto del Poder Ejecutivo Nacional N° 1116/2000.</w:t>
            </w:r>
          </w:p>
        </w:tc>
        <w:tc>
          <w:tcPr>
            <w:tcW w:w="1701" w:type="dxa"/>
            <w:tcBorders>
              <w:top w:val="single" w:sz="4" w:space="0" w:color="auto"/>
              <w:left w:val="single" w:sz="4" w:space="0" w:color="auto"/>
              <w:bottom w:val="single" w:sz="4" w:space="0" w:color="auto"/>
              <w:right w:val="single" w:sz="4" w:space="0" w:color="auto"/>
            </w:tcBorders>
            <w:vAlign w:val="center"/>
          </w:tcPr>
          <w:p w14:paraId="20A644C4" w14:textId="77777777" w:rsidR="001236DC" w:rsidRPr="00644AF6" w:rsidRDefault="001236DC" w:rsidP="00D450C6">
            <w:pPr>
              <w:spacing w:after="0" w:line="240" w:lineRule="auto"/>
              <w:jc w:val="center"/>
              <w:rPr>
                <w:rFonts w:ascii="Cambria" w:eastAsia="Batang" w:hAnsi="Cambria"/>
                <w:b/>
                <w:color w:val="080808"/>
                <w:sz w:val="20"/>
                <w:szCs w:val="20"/>
                <w:lang w:val="es-CO"/>
              </w:rPr>
            </w:pPr>
            <w:r w:rsidRPr="00644AF6">
              <w:rPr>
                <w:rFonts w:ascii="Cambria" w:eastAsia="Batang" w:hAnsi="Cambria"/>
                <w:b/>
                <w:color w:val="080808"/>
                <w:sz w:val="20"/>
                <w:szCs w:val="20"/>
                <w:lang w:val="es-CO"/>
              </w:rPr>
              <w:t>Total</w:t>
            </w:r>
            <w:r w:rsidRPr="00644AF6">
              <w:rPr>
                <w:rFonts w:ascii="Cambria" w:eastAsia="Batang" w:hAnsi="Cambria"/>
                <w:b/>
                <w:color w:val="080808"/>
                <w:sz w:val="20"/>
                <w:szCs w:val="20"/>
                <w:vertAlign w:val="superscript"/>
                <w:lang w:val="es-CO"/>
              </w:rPr>
              <w:footnoteReference w:id="3"/>
            </w:r>
          </w:p>
        </w:tc>
      </w:tr>
      <w:tr w:rsidR="001236DC" w:rsidRPr="009C5710" w14:paraId="53034C39" w14:textId="77777777" w:rsidTr="00D450C6">
        <w:trPr>
          <w:trHeight w:val="1151"/>
          <w:jc w:val="center"/>
        </w:trPr>
        <w:tc>
          <w:tcPr>
            <w:tcW w:w="7632" w:type="dxa"/>
            <w:tcBorders>
              <w:top w:val="single" w:sz="4" w:space="0" w:color="auto"/>
              <w:left w:val="single" w:sz="4" w:space="0" w:color="auto"/>
              <w:bottom w:val="single" w:sz="4" w:space="0" w:color="auto"/>
              <w:right w:val="single" w:sz="4" w:space="0" w:color="auto"/>
            </w:tcBorders>
          </w:tcPr>
          <w:p w14:paraId="58957EF7" w14:textId="77777777" w:rsidR="001236DC" w:rsidRPr="00644AF6" w:rsidRDefault="001236DC" w:rsidP="00D450C6">
            <w:pPr>
              <w:spacing w:after="0" w:line="240" w:lineRule="auto"/>
              <w:jc w:val="both"/>
              <w:rPr>
                <w:rFonts w:ascii="Cambria" w:hAnsi="Cambria"/>
                <w:color w:val="080808"/>
                <w:sz w:val="20"/>
                <w:szCs w:val="20"/>
                <w:lang w:val="es-CO"/>
              </w:rPr>
            </w:pPr>
            <w:r w:rsidRPr="00644AF6">
              <w:rPr>
                <w:rFonts w:ascii="Cambria" w:hAnsi="Cambria" w:cs="Segoe UI"/>
                <w:sz w:val="20"/>
                <w:szCs w:val="20"/>
                <w:lang w:val="es-419"/>
              </w:rPr>
              <w:t>4. Una vez efectivizado el pago de la reparación prevista en el punto II.2 de este acuerdo, la parte peticionaria renuncia, de manera definitiva e irrevocable, a iniciar cualquier otro reclamo de naturaleza pecuniaria contra el Estado en relación con los hechos que motivaron el presente caso.</w:t>
            </w:r>
          </w:p>
        </w:tc>
        <w:tc>
          <w:tcPr>
            <w:tcW w:w="1701" w:type="dxa"/>
            <w:tcBorders>
              <w:top w:val="single" w:sz="4" w:space="0" w:color="auto"/>
              <w:left w:val="single" w:sz="4" w:space="0" w:color="auto"/>
              <w:bottom w:val="single" w:sz="4" w:space="0" w:color="auto"/>
              <w:right w:val="single" w:sz="4" w:space="0" w:color="auto"/>
            </w:tcBorders>
            <w:vAlign w:val="center"/>
          </w:tcPr>
          <w:p w14:paraId="7A34B4A6" w14:textId="77777777" w:rsidR="001236DC" w:rsidRPr="00644AF6" w:rsidRDefault="001236DC" w:rsidP="00D450C6">
            <w:pPr>
              <w:spacing w:after="0" w:line="240" w:lineRule="auto"/>
              <w:jc w:val="center"/>
              <w:rPr>
                <w:rFonts w:ascii="Cambria" w:eastAsia="Batang" w:hAnsi="Cambria"/>
                <w:b/>
                <w:color w:val="080808"/>
                <w:sz w:val="20"/>
                <w:szCs w:val="20"/>
                <w:lang w:val="es-CO"/>
              </w:rPr>
            </w:pPr>
            <w:r w:rsidRPr="00644AF6">
              <w:rPr>
                <w:rFonts w:ascii="Cambria" w:eastAsia="Batang" w:hAnsi="Cambria"/>
                <w:b/>
                <w:color w:val="000000"/>
                <w:sz w:val="20"/>
                <w:szCs w:val="20"/>
                <w:lang w:val="es-CO" w:eastAsia="es-ES_tradnl"/>
              </w:rPr>
              <w:t>Cláusula Declarativa</w:t>
            </w:r>
          </w:p>
        </w:tc>
      </w:tr>
    </w:tbl>
    <w:p w14:paraId="409013BA" w14:textId="77777777" w:rsidR="001236DC" w:rsidRDefault="001236DC" w:rsidP="001236DC">
      <w:pPr>
        <w:autoSpaceDE w:val="0"/>
        <w:autoSpaceDN w:val="0"/>
        <w:adjustRightInd w:val="0"/>
        <w:spacing w:after="0" w:line="240" w:lineRule="auto"/>
        <w:jc w:val="both"/>
        <w:rPr>
          <w:rFonts w:ascii="Cambria" w:eastAsia="Batang" w:hAnsi="Cambria" w:cs="Calibri Light"/>
          <w:b/>
          <w:color w:val="080808"/>
          <w:lang w:val="es-CO"/>
        </w:rPr>
      </w:pPr>
    </w:p>
    <w:p w14:paraId="7251AB6C" w14:textId="77777777" w:rsidR="001236DC" w:rsidRPr="00336FFF" w:rsidRDefault="001236DC" w:rsidP="001236DC">
      <w:pPr>
        <w:pStyle w:val="ListParagraph"/>
        <w:numPr>
          <w:ilvl w:val="0"/>
          <w:numId w:val="37"/>
        </w:numPr>
        <w:autoSpaceDE w:val="0"/>
        <w:autoSpaceDN w:val="0"/>
        <w:adjustRightInd w:val="0"/>
        <w:spacing w:after="0" w:line="240" w:lineRule="auto"/>
        <w:ind w:firstLine="259"/>
        <w:jc w:val="both"/>
        <w:rPr>
          <w:rFonts w:ascii="Cambria" w:eastAsia="Batang" w:hAnsi="Cambria" w:cs="Calibri Light"/>
          <w:b/>
          <w:color w:val="080808"/>
          <w:lang w:val="es-CO"/>
        </w:rPr>
      </w:pPr>
      <w:r w:rsidRPr="00336FFF">
        <w:rPr>
          <w:rFonts w:ascii="Cambria" w:eastAsia="Batang" w:hAnsi="Cambria" w:cs="Calibri Light"/>
          <w:b/>
          <w:color w:val="080808"/>
          <w:lang w:val="es-CO"/>
        </w:rPr>
        <w:t>NIVEL DE CUMPLIMIENTO DEL CASO</w:t>
      </w:r>
    </w:p>
    <w:p w14:paraId="422A3ACE" w14:textId="77777777" w:rsidR="001236DC" w:rsidRPr="0009182C" w:rsidRDefault="001236DC" w:rsidP="001236DC">
      <w:pPr>
        <w:spacing w:after="0" w:line="240" w:lineRule="auto"/>
        <w:ind w:firstLine="720"/>
        <w:jc w:val="both"/>
        <w:rPr>
          <w:rFonts w:ascii="Cambria" w:eastAsia="Batang" w:hAnsi="Cambria" w:cs="Calibri Light"/>
          <w:color w:val="080808"/>
          <w:lang w:val="es-CO"/>
        </w:rPr>
      </w:pPr>
    </w:p>
    <w:p w14:paraId="691ED251" w14:textId="77777777" w:rsidR="001236DC" w:rsidRPr="00644AF6" w:rsidRDefault="001236DC" w:rsidP="001236DC">
      <w:pPr>
        <w:pStyle w:val="ListParagraph"/>
        <w:spacing w:after="0" w:line="240" w:lineRule="auto"/>
        <w:ind w:left="0" w:firstLine="709"/>
        <w:jc w:val="both"/>
        <w:rPr>
          <w:rFonts w:ascii="Cambria" w:hAnsi="Cambria"/>
          <w:color w:val="080808"/>
          <w:sz w:val="20"/>
          <w:szCs w:val="20"/>
          <w:lang w:val="es-CO"/>
        </w:rPr>
      </w:pPr>
      <w:r w:rsidRPr="00644AF6">
        <w:rPr>
          <w:rFonts w:ascii="Cambria" w:hAnsi="Cambria"/>
          <w:color w:val="080808"/>
          <w:sz w:val="20"/>
          <w:szCs w:val="20"/>
          <w:lang w:val="es-CO"/>
        </w:rPr>
        <w:t>3.               La Comisión declaró el cumplimiento total del asunto y el cese del seguimiento del acuerdo de solución amistosa en el Informe Anual de 2023.</w:t>
      </w:r>
    </w:p>
    <w:p w14:paraId="5E775354" w14:textId="77777777" w:rsidR="001236DC" w:rsidRPr="00644AF6" w:rsidRDefault="001236DC" w:rsidP="001236DC">
      <w:pPr>
        <w:spacing w:after="0" w:line="240" w:lineRule="auto"/>
        <w:ind w:firstLine="720"/>
        <w:jc w:val="both"/>
        <w:rPr>
          <w:rFonts w:ascii="Cambria" w:eastAsia="Batang" w:hAnsi="Cambria" w:cs="Calibri Light"/>
          <w:b/>
          <w:color w:val="080808"/>
          <w:sz w:val="20"/>
          <w:szCs w:val="20"/>
          <w:lang w:val="es-CO"/>
        </w:rPr>
      </w:pPr>
    </w:p>
    <w:p w14:paraId="22C4988E" w14:textId="77777777" w:rsidR="001236DC" w:rsidRPr="00336FFF" w:rsidRDefault="001236DC" w:rsidP="001236DC">
      <w:pPr>
        <w:pStyle w:val="ListParagraph"/>
        <w:numPr>
          <w:ilvl w:val="0"/>
          <w:numId w:val="37"/>
        </w:numPr>
        <w:spacing w:after="0" w:line="240" w:lineRule="auto"/>
        <w:ind w:firstLine="259"/>
        <w:jc w:val="both"/>
        <w:rPr>
          <w:rFonts w:ascii="Cambria" w:eastAsia="Batang" w:hAnsi="Cambria" w:cs="Calibri Light"/>
          <w:b/>
          <w:color w:val="080808"/>
          <w:lang w:val="es-CO"/>
        </w:rPr>
      </w:pPr>
      <w:r w:rsidRPr="00336FFF">
        <w:rPr>
          <w:rFonts w:ascii="Cambria" w:eastAsia="Batang" w:hAnsi="Cambria" w:cs="Calibri Light"/>
          <w:b/>
          <w:color w:val="080808"/>
          <w:lang w:val="es-CO"/>
        </w:rPr>
        <w:t xml:space="preserve">RESULTADOS INDIVIDUALES Y ESTRUCTURALES DEL CASO </w:t>
      </w:r>
    </w:p>
    <w:p w14:paraId="6B1D4DA9" w14:textId="77777777" w:rsidR="001236DC" w:rsidRPr="0009182C" w:rsidRDefault="001236DC" w:rsidP="001236DC">
      <w:pPr>
        <w:spacing w:after="0" w:line="240" w:lineRule="auto"/>
        <w:ind w:firstLine="720"/>
        <w:contextualSpacing/>
        <w:jc w:val="both"/>
        <w:rPr>
          <w:rFonts w:ascii="Cambria" w:eastAsia="Batang" w:hAnsi="Cambria" w:cs="Calibri Light"/>
          <w:b/>
          <w:color w:val="080808"/>
          <w:lang w:val="es-CO"/>
        </w:rPr>
      </w:pPr>
    </w:p>
    <w:p w14:paraId="5E393092" w14:textId="77777777" w:rsidR="001236DC" w:rsidRPr="00644AF6" w:rsidRDefault="001236DC" w:rsidP="001236DC">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644AF6">
        <w:rPr>
          <w:rFonts w:ascii="Cambria" w:eastAsia="Batang" w:hAnsi="Cambria" w:cs="Calibri Light"/>
          <w:b/>
          <w:color w:val="080808"/>
          <w:sz w:val="20"/>
          <w:szCs w:val="20"/>
          <w:lang w:val="es-CO"/>
        </w:rPr>
        <w:t>Resultados individuales del caso</w:t>
      </w:r>
    </w:p>
    <w:p w14:paraId="53094BB2" w14:textId="77777777" w:rsidR="001236DC" w:rsidRPr="00644AF6" w:rsidRDefault="001236DC" w:rsidP="001236DC">
      <w:pPr>
        <w:spacing w:after="0" w:line="240" w:lineRule="auto"/>
        <w:ind w:left="720"/>
        <w:contextualSpacing/>
        <w:jc w:val="both"/>
        <w:rPr>
          <w:rFonts w:ascii="Cambria" w:eastAsia="Batang" w:hAnsi="Cambria" w:cs="Calibri Light"/>
          <w:b/>
          <w:color w:val="080808"/>
          <w:sz w:val="20"/>
          <w:szCs w:val="20"/>
          <w:lang w:val="es-CO"/>
        </w:rPr>
      </w:pPr>
    </w:p>
    <w:p w14:paraId="26A9D2C4" w14:textId="77777777" w:rsidR="001236DC" w:rsidRPr="00644AF6" w:rsidRDefault="001236DC" w:rsidP="00644AF6">
      <w:pPr>
        <w:pStyle w:val="ListParagraph"/>
        <w:numPr>
          <w:ilvl w:val="0"/>
          <w:numId w:val="39"/>
        </w:numPr>
        <w:spacing w:after="0" w:line="240" w:lineRule="auto"/>
        <w:ind w:left="1440" w:hanging="720"/>
        <w:jc w:val="both"/>
        <w:rPr>
          <w:rFonts w:ascii="Cambria" w:hAnsi="Cambria"/>
          <w:sz w:val="20"/>
          <w:szCs w:val="20"/>
          <w:lang w:val="es-419"/>
        </w:rPr>
      </w:pPr>
      <w:r w:rsidRPr="00644AF6">
        <w:rPr>
          <w:rStyle w:val="normaltextrun"/>
          <w:rFonts w:ascii="Cambria" w:hAnsi="Cambria" w:cs="Segoe UI"/>
          <w:sz w:val="20"/>
          <w:szCs w:val="20"/>
          <w:lang w:val="es-VE"/>
        </w:rPr>
        <w:t xml:space="preserve">El 21 de octubre de 2022, el Ministro de Justicia y Derechos Humanos de la Nación dictó la resolución RESOL-2022-1594-APNMJ, a través de la cual resolvió otorgar a Silvia Severini el beneficio previsto por la Ley Nº 24.043, </w:t>
      </w:r>
      <w:bookmarkStart w:id="0" w:name="_Hlk119506576"/>
      <w:r w:rsidRPr="00644AF6">
        <w:rPr>
          <w:rStyle w:val="normaltextrun"/>
          <w:rFonts w:ascii="Cambria" w:hAnsi="Cambria" w:cs="Segoe UI"/>
          <w:sz w:val="20"/>
          <w:szCs w:val="20"/>
          <w:lang w:val="es-VE"/>
        </w:rPr>
        <w:t>estableciendo los días indemnizables y el monto compensatorio correspondiente</w:t>
      </w:r>
      <w:bookmarkEnd w:id="0"/>
      <w:r w:rsidRPr="00644AF6">
        <w:rPr>
          <w:rStyle w:val="normaltextrun"/>
          <w:rFonts w:ascii="Cambria" w:hAnsi="Cambria" w:cs="Segoe UI"/>
          <w:sz w:val="20"/>
          <w:szCs w:val="20"/>
          <w:lang w:val="es-VE"/>
        </w:rPr>
        <w:t>.</w:t>
      </w:r>
      <w:r w:rsidRPr="00644AF6">
        <w:rPr>
          <w:rFonts w:ascii="Cambria" w:hAnsi="Cambria"/>
          <w:sz w:val="20"/>
          <w:szCs w:val="20"/>
          <w:lang w:val="es-419"/>
        </w:rPr>
        <w:t> </w:t>
      </w:r>
    </w:p>
    <w:p w14:paraId="5C0780A5" w14:textId="4BE99FBE" w:rsidR="001236DC" w:rsidRPr="00644AF6" w:rsidRDefault="001236DC" w:rsidP="00644AF6">
      <w:pPr>
        <w:pStyle w:val="ListParagraph"/>
        <w:numPr>
          <w:ilvl w:val="0"/>
          <w:numId w:val="39"/>
        </w:numPr>
        <w:spacing w:after="0" w:line="240" w:lineRule="auto"/>
        <w:ind w:left="1440" w:hanging="720"/>
        <w:jc w:val="both"/>
        <w:rPr>
          <w:rFonts w:ascii="Cambria" w:hAnsi="Cambria"/>
          <w:sz w:val="20"/>
          <w:szCs w:val="20"/>
          <w:lang w:val="es-419"/>
        </w:rPr>
      </w:pPr>
      <w:r w:rsidRPr="00644AF6">
        <w:rPr>
          <w:rFonts w:ascii="Cambria" w:hAnsi="Cambria"/>
          <w:sz w:val="20"/>
          <w:szCs w:val="20"/>
          <w:lang w:val="es-AR"/>
        </w:rPr>
        <w:t>El 23 de mayo de 2022, se realizó la liquidación registrada con el Número 19707 que fue practicada por la Unidad de Pago de Leyes Reparatorias y se emitió la correspondiente Instrucción de Pago de Beneficios e Indemnizaciones e</w:t>
      </w:r>
      <w:r w:rsidRPr="00644AF6">
        <w:rPr>
          <w:rFonts w:ascii="Cambria" w:hAnsi="Cambria"/>
          <w:sz w:val="20"/>
          <w:szCs w:val="20"/>
          <w:lang w:val="es-419"/>
        </w:rPr>
        <w:t xml:space="preserve">n concepto de la reparación pecuniaria </w:t>
      </w:r>
      <w:r w:rsidR="001C4224" w:rsidRPr="001C4224">
        <w:rPr>
          <w:rFonts w:ascii="Cambria" w:hAnsi="Cambria"/>
          <w:sz w:val="20"/>
          <w:szCs w:val="20"/>
          <w:lang w:val="es-419"/>
        </w:rPr>
        <w:t>de acuerdo con el</w:t>
      </w:r>
      <w:r w:rsidRPr="00644AF6">
        <w:rPr>
          <w:rFonts w:ascii="Cambria" w:hAnsi="Cambria"/>
          <w:sz w:val="20"/>
          <w:szCs w:val="20"/>
          <w:lang w:val="es-419"/>
        </w:rPr>
        <w:t xml:space="preserve"> esquema previsto por la Ley N° 24.043.</w:t>
      </w:r>
    </w:p>
    <w:p w14:paraId="5E2CE4CA" w14:textId="0614BDA5" w:rsidR="003B3362" w:rsidRPr="003378B3" w:rsidRDefault="003B3362" w:rsidP="001236DC">
      <w:pPr>
        <w:spacing w:after="0" w:line="240" w:lineRule="auto"/>
        <w:ind w:right="72"/>
        <w:jc w:val="both"/>
        <w:rPr>
          <w:rFonts w:ascii="Cambria" w:eastAsia="Times New Roman" w:hAnsi="Cambria"/>
          <w:highlight w:val="yellow"/>
          <w:lang w:val="es-419" w:eastAsia="es-ES_tradnl"/>
        </w:rPr>
      </w:pPr>
    </w:p>
    <w:sectPr w:rsidR="003B3362" w:rsidRPr="003378B3" w:rsidSect="00C06B41">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4307" w14:textId="77777777" w:rsidR="00C06B41" w:rsidRDefault="00C06B41" w:rsidP="00A343FF">
      <w:pPr>
        <w:spacing w:after="0" w:line="240" w:lineRule="auto"/>
      </w:pPr>
      <w:r>
        <w:separator/>
      </w:r>
    </w:p>
  </w:endnote>
  <w:endnote w:type="continuationSeparator" w:id="0">
    <w:p w14:paraId="518E1619" w14:textId="77777777" w:rsidR="00C06B41" w:rsidRDefault="00C06B41"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71876"/>
      <w:docPartObj>
        <w:docPartGallery w:val="Page Numbers (Bottom of Page)"/>
        <w:docPartUnique/>
      </w:docPartObj>
    </w:sdtPr>
    <w:sdtEndPr>
      <w:rPr>
        <w:sz w:val="16"/>
        <w:szCs w:val="16"/>
      </w:rPr>
    </w:sdtEndPr>
    <w:sdtContent>
      <w:p w14:paraId="6DC78BF3" w14:textId="768BFD30" w:rsidR="00D57303" w:rsidRPr="00D57303" w:rsidRDefault="00D57303">
        <w:pPr>
          <w:pStyle w:val="Footer"/>
          <w:jc w:val="center"/>
          <w:rPr>
            <w:sz w:val="16"/>
            <w:szCs w:val="16"/>
          </w:rPr>
        </w:pPr>
        <w:r w:rsidRPr="00D57303">
          <w:rPr>
            <w:sz w:val="16"/>
            <w:szCs w:val="16"/>
          </w:rPr>
          <w:fldChar w:fldCharType="begin"/>
        </w:r>
        <w:r w:rsidRPr="00D57303">
          <w:rPr>
            <w:sz w:val="16"/>
            <w:szCs w:val="16"/>
          </w:rPr>
          <w:instrText>PAGE   \* MERGEFORMAT</w:instrText>
        </w:r>
        <w:r w:rsidRPr="00D57303">
          <w:rPr>
            <w:sz w:val="16"/>
            <w:szCs w:val="16"/>
          </w:rPr>
          <w:fldChar w:fldCharType="separate"/>
        </w:r>
        <w:r w:rsidRPr="00D57303">
          <w:rPr>
            <w:sz w:val="16"/>
            <w:szCs w:val="16"/>
            <w:lang w:val="es-ES"/>
          </w:rPr>
          <w:t>2</w:t>
        </w:r>
        <w:r w:rsidRPr="00D57303">
          <w:rPr>
            <w:sz w:val="16"/>
            <w:szCs w:val="16"/>
          </w:rPr>
          <w:fldChar w:fldCharType="end"/>
        </w:r>
      </w:p>
    </w:sdtContent>
  </w:sdt>
  <w:p w14:paraId="06833A88" w14:textId="77777777" w:rsidR="00D57303" w:rsidRDefault="00D57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8772" w14:textId="77777777" w:rsidR="00502C86" w:rsidRDefault="006A0E74" w:rsidP="00502C86">
    <w:pPr>
      <w:pStyle w:val="Footer"/>
      <w:spacing w:line="360" w:lineRule="auto"/>
      <w:jc w:val="right"/>
    </w:pPr>
    <w:bookmarkStart w:id="53" w:name="_Hlk129090884"/>
    <w:bookmarkStart w:id="54" w:name="_Hlk129090885"/>
    <w:bookmarkStart w:id="55" w:name="_Hlk129091044"/>
    <w:bookmarkStart w:id="56" w:name="_Hlk129091045"/>
    <w:bookmarkStart w:id="57" w:name="_Hlk129091049"/>
    <w:bookmarkStart w:id="58" w:name="_Hlk129091050"/>
    <w:bookmarkStart w:id="59" w:name="_Hlk129091188"/>
    <w:bookmarkStart w:id="60" w:name="_Hlk129091189"/>
    <w:bookmarkStart w:id="61" w:name="_Hlk129091982"/>
    <w:bookmarkStart w:id="62" w:name="_Hlk129091983"/>
    <w:bookmarkStart w:id="63" w:name="_Hlk129092109"/>
    <w:bookmarkStart w:id="64" w:name="_Hlk129092110"/>
    <w:bookmarkStart w:id="65" w:name="_Hlk129092206"/>
    <w:bookmarkStart w:id="66" w:name="_Hlk129092207"/>
    <w:bookmarkStart w:id="67" w:name="_Hlk129092304"/>
    <w:bookmarkStart w:id="68" w:name="_Hlk129092305"/>
    <w:bookmarkStart w:id="69" w:name="_Hlk129092365"/>
    <w:bookmarkStart w:id="70" w:name="_Hlk129092366"/>
    <w:bookmarkStart w:id="71" w:name="_Hlk129092414"/>
    <w:bookmarkStart w:id="72" w:name="_Hlk129092415"/>
    <w:bookmarkStart w:id="73" w:name="_Hlk129092467"/>
    <w:bookmarkStart w:id="74" w:name="_Hlk129092468"/>
    <w:r>
      <w:pict w14:anchorId="4AC02FB1">
        <v:rect id="_x0000_i1027" style="width:0;height:1.5pt" o:hralign="center" o:hrstd="t" o:hr="t" fillcolor="#a0a0a0" stroked="f"/>
      </w:pict>
    </w:r>
  </w:p>
  <w:p w14:paraId="7842FAB3" w14:textId="77777777" w:rsidR="00502C86" w:rsidRDefault="00502C86" w:rsidP="00502C86">
    <w:pPr>
      <w:pStyle w:val="Footer"/>
      <w:jc w:val="center"/>
    </w:pPr>
    <w:r w:rsidRPr="008A5CB5">
      <w:rPr>
        <w:noProof/>
      </w:rPr>
      <w:drawing>
        <wp:inline distT="0" distB="0" distL="0" distR="0" wp14:anchorId="3C98A082" wp14:editId="46528241">
          <wp:extent cx="5117465" cy="324485"/>
          <wp:effectExtent l="0" t="0" r="6985" b="0"/>
          <wp:docPr id="1528022501"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6B38E1E" w14:textId="4C99FE5E" w:rsidR="00D57303" w:rsidRDefault="00D57303" w:rsidP="00D573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0DA6" w14:textId="77777777" w:rsidR="00C06B41" w:rsidRDefault="00C06B41" w:rsidP="00A343FF">
      <w:pPr>
        <w:spacing w:after="0" w:line="240" w:lineRule="auto"/>
      </w:pPr>
      <w:r>
        <w:separator/>
      </w:r>
    </w:p>
  </w:footnote>
  <w:footnote w:type="continuationSeparator" w:id="0">
    <w:p w14:paraId="5C71E712" w14:textId="77777777" w:rsidR="00C06B41" w:rsidRDefault="00C06B41" w:rsidP="00A343FF">
      <w:pPr>
        <w:spacing w:after="0" w:line="240" w:lineRule="auto"/>
      </w:pPr>
      <w:r>
        <w:continuationSeparator/>
      </w:r>
    </w:p>
  </w:footnote>
  <w:footnote w:id="1">
    <w:p w14:paraId="26DF12CF" w14:textId="2B07AE59" w:rsidR="001236DC" w:rsidRPr="00644AF6" w:rsidRDefault="001236DC" w:rsidP="001236DC">
      <w:pPr>
        <w:pStyle w:val="FootnoteText"/>
        <w:spacing w:after="0" w:line="240" w:lineRule="auto"/>
        <w:ind w:firstLine="709"/>
        <w:rPr>
          <w:rFonts w:ascii="Cambria" w:hAnsi="Cambria"/>
          <w:sz w:val="16"/>
          <w:szCs w:val="16"/>
          <w:lang w:val="es-AR"/>
        </w:rPr>
      </w:pPr>
      <w:r w:rsidRPr="00644AF6">
        <w:rPr>
          <w:rStyle w:val="FootnoteReference"/>
          <w:rFonts w:ascii="Cambria" w:hAnsi="Cambria"/>
          <w:sz w:val="16"/>
          <w:szCs w:val="16"/>
        </w:rPr>
        <w:footnoteRef/>
      </w:r>
      <w:r w:rsidRPr="00644AF6">
        <w:rPr>
          <w:rFonts w:ascii="Cambria" w:hAnsi="Cambria"/>
          <w:sz w:val="16"/>
          <w:szCs w:val="16"/>
          <w:lang w:val="es-AR"/>
        </w:rPr>
        <w:t xml:space="preserve"> </w:t>
      </w:r>
      <w:r w:rsidRPr="00644AF6">
        <w:rPr>
          <w:rFonts w:ascii="Cambria" w:hAnsi="Cambria"/>
          <w:color w:val="000000"/>
          <w:sz w:val="16"/>
          <w:szCs w:val="16"/>
          <w:lang w:val="es-ES"/>
        </w:rPr>
        <w:t xml:space="preserve">Ver CIDH, </w:t>
      </w:r>
      <w:r w:rsidRPr="00644AF6">
        <w:rPr>
          <w:rFonts w:ascii="Cambria" w:hAnsi="Cambria"/>
          <w:i/>
          <w:iCs/>
          <w:color w:val="000000"/>
          <w:sz w:val="16"/>
          <w:szCs w:val="16"/>
          <w:lang w:val="es-ES"/>
        </w:rPr>
        <w:t>Informe Anual 2023</w:t>
      </w:r>
      <w:r w:rsidRPr="00644AF6">
        <w:rPr>
          <w:rFonts w:ascii="Cambria" w:hAnsi="Cambria"/>
          <w:color w:val="000000"/>
          <w:sz w:val="16"/>
          <w:szCs w:val="16"/>
          <w:lang w:val="es-ES"/>
        </w:rPr>
        <w:t xml:space="preserve">, Capítulo II, Sección C. </w:t>
      </w:r>
      <w:r w:rsidRPr="00644AF6">
        <w:rPr>
          <w:rStyle w:val="ui-provider"/>
          <w:rFonts w:ascii="Cambria" w:hAnsi="Cambria"/>
          <w:sz w:val="16"/>
          <w:szCs w:val="16"/>
          <w:lang w:val="es-AR"/>
        </w:rPr>
        <w:t>Avances y retrocesos en materia de negociación e implementación de acuerdos de solución amistosa</w:t>
      </w:r>
      <w:r w:rsidRPr="00644AF6">
        <w:rPr>
          <w:rFonts w:ascii="Cambria" w:hAnsi="Cambria"/>
          <w:color w:val="000000"/>
          <w:sz w:val="16"/>
          <w:szCs w:val="16"/>
          <w:lang w:val="es-ES"/>
        </w:rPr>
        <w:t xml:space="preserve">. </w:t>
      </w:r>
      <w:r w:rsidRPr="00644AF6">
        <w:rPr>
          <w:rFonts w:ascii="Cambria" w:hAnsi="Cambria"/>
          <w:color w:val="000000"/>
          <w:sz w:val="16"/>
          <w:szCs w:val="16"/>
          <w:lang w:val="es-CO"/>
        </w:rPr>
        <w:t>Disponible en:</w:t>
      </w:r>
      <w:r w:rsidR="00D548BD" w:rsidRPr="00D548BD">
        <w:rPr>
          <w:rFonts w:ascii="Cambria" w:hAnsi="Cambria"/>
          <w:sz w:val="16"/>
          <w:szCs w:val="16"/>
          <w:lang w:val="es-ES"/>
        </w:rPr>
        <w:t xml:space="preserve"> </w:t>
      </w:r>
      <w:hyperlink r:id="rId1" w:history="1">
        <w:r w:rsidR="00D548BD" w:rsidRPr="00D548BD">
          <w:rPr>
            <w:rStyle w:val="Hyperlink"/>
            <w:rFonts w:ascii="Cambria" w:hAnsi="Cambria"/>
            <w:sz w:val="16"/>
            <w:szCs w:val="16"/>
            <w:lang w:val="es-ES"/>
          </w:rPr>
          <w:t>https://www.oas.org/es/cidh/docs/anual/2023/capitulos/IA2023_Cap_2_SPA.PDF</w:t>
        </w:r>
      </w:hyperlink>
      <w:r w:rsidR="00D548BD" w:rsidRPr="00D548BD">
        <w:rPr>
          <w:rFonts w:ascii="Cambria" w:hAnsi="Cambria"/>
          <w:color w:val="FF0000"/>
          <w:sz w:val="16"/>
          <w:szCs w:val="16"/>
          <w:lang w:val="es-ES"/>
        </w:rPr>
        <w:t xml:space="preserve"> </w:t>
      </w:r>
    </w:p>
  </w:footnote>
  <w:footnote w:id="2">
    <w:p w14:paraId="56E15302" w14:textId="77777777" w:rsidR="001236DC" w:rsidRPr="00644AF6" w:rsidRDefault="001236DC" w:rsidP="001236DC">
      <w:pPr>
        <w:pStyle w:val="FootnoteText"/>
        <w:spacing w:after="0" w:line="240" w:lineRule="auto"/>
        <w:ind w:firstLine="709"/>
        <w:jc w:val="both"/>
        <w:rPr>
          <w:rFonts w:ascii="Cambria" w:hAnsi="Cambria"/>
          <w:sz w:val="16"/>
          <w:szCs w:val="16"/>
          <w:lang w:val="es-AR"/>
        </w:rPr>
      </w:pPr>
      <w:r w:rsidRPr="00644AF6">
        <w:rPr>
          <w:rStyle w:val="FootnoteReference"/>
          <w:rFonts w:ascii="Cambria" w:hAnsi="Cambria"/>
          <w:sz w:val="16"/>
          <w:szCs w:val="16"/>
        </w:rPr>
        <w:footnoteRef/>
      </w:r>
      <w:r w:rsidRPr="00644AF6">
        <w:rPr>
          <w:rFonts w:ascii="Cambria" w:hAnsi="Cambria"/>
          <w:sz w:val="16"/>
          <w:szCs w:val="16"/>
          <w:lang w:val="es-AR"/>
        </w:rPr>
        <w:t xml:space="preserve"> </w:t>
      </w:r>
      <w:r w:rsidRPr="00644AF6">
        <w:rPr>
          <w:rFonts w:ascii="Cambria" w:hAnsi="Cambria"/>
          <w:sz w:val="16"/>
          <w:szCs w:val="16"/>
          <w:lang w:val="es-US"/>
        </w:rPr>
        <w:t xml:space="preserve">CIDH, Informe No. </w:t>
      </w:r>
      <w:r w:rsidRPr="00644AF6">
        <w:rPr>
          <w:rFonts w:ascii="Cambria" w:hAnsi="Cambria"/>
          <w:sz w:val="16"/>
          <w:szCs w:val="16"/>
          <w:lang w:val="es-ES_tradnl"/>
        </w:rPr>
        <w:t xml:space="preserve">349/22. </w:t>
      </w:r>
      <w:r w:rsidRPr="00644AF6">
        <w:rPr>
          <w:rFonts w:ascii="Cambria" w:hAnsi="Cambria"/>
          <w:sz w:val="16"/>
          <w:szCs w:val="16"/>
          <w:lang w:val="es-ES"/>
        </w:rPr>
        <w:t xml:space="preserve">Caso 13.869. </w:t>
      </w:r>
      <w:r w:rsidRPr="00644AF6">
        <w:rPr>
          <w:rFonts w:ascii="Cambria" w:hAnsi="Cambria"/>
          <w:sz w:val="16"/>
          <w:szCs w:val="16"/>
          <w:lang w:val="es-ES_tradnl"/>
        </w:rPr>
        <w:t>Solución Amistosa. Silvia Mónica Severini. Argentina. 11 de diciembre de 2022</w:t>
      </w:r>
      <w:r w:rsidRPr="00644AF6">
        <w:rPr>
          <w:rFonts w:ascii="Cambria" w:hAnsi="Cambria"/>
          <w:sz w:val="16"/>
          <w:szCs w:val="16"/>
          <w:lang w:val="es-ES"/>
        </w:rPr>
        <w:t xml:space="preserve">. Disponible en: </w:t>
      </w:r>
      <w:hyperlink r:id="rId2" w:history="1">
        <w:r w:rsidRPr="00644AF6">
          <w:rPr>
            <w:rStyle w:val="Hyperlink"/>
            <w:rFonts w:ascii="Cambria" w:hAnsi="Cambria"/>
            <w:sz w:val="16"/>
            <w:szCs w:val="16"/>
            <w:lang w:val="es-ES"/>
          </w:rPr>
          <w:t>https://www.oas.org/es/cidh/decisiones/2022/ARSA_13.869_ES.PDF</w:t>
        </w:r>
      </w:hyperlink>
      <w:r w:rsidRPr="00644AF6">
        <w:rPr>
          <w:rFonts w:ascii="Cambria" w:hAnsi="Cambria"/>
          <w:sz w:val="16"/>
          <w:szCs w:val="16"/>
          <w:lang w:val="es-ES"/>
        </w:rPr>
        <w:t xml:space="preserve"> </w:t>
      </w:r>
    </w:p>
  </w:footnote>
  <w:footnote w:id="3">
    <w:p w14:paraId="1D3A5C54" w14:textId="76A77776" w:rsidR="001236DC" w:rsidRPr="002B46D3" w:rsidRDefault="001236DC" w:rsidP="001236DC">
      <w:pPr>
        <w:pStyle w:val="FootnoteText"/>
        <w:spacing w:after="0" w:line="240" w:lineRule="auto"/>
        <w:ind w:firstLine="709"/>
        <w:jc w:val="both"/>
        <w:rPr>
          <w:rFonts w:ascii="Cambria" w:hAnsi="Cambria"/>
          <w:sz w:val="16"/>
          <w:szCs w:val="16"/>
          <w:lang w:val="es-ES"/>
        </w:rPr>
      </w:pPr>
      <w:r w:rsidRPr="00644AF6">
        <w:rPr>
          <w:rStyle w:val="FootnoteReference"/>
          <w:rFonts w:ascii="Cambria" w:hAnsi="Cambria"/>
          <w:sz w:val="16"/>
          <w:szCs w:val="16"/>
        </w:rPr>
        <w:footnoteRef/>
      </w:r>
      <w:r w:rsidRPr="00644AF6">
        <w:rPr>
          <w:rFonts w:ascii="Cambria" w:hAnsi="Cambria"/>
          <w:sz w:val="16"/>
          <w:szCs w:val="16"/>
          <w:lang w:val="es-ES"/>
        </w:rPr>
        <w:t xml:space="preserve"> </w:t>
      </w:r>
      <w:r w:rsidRPr="00644AF6">
        <w:rPr>
          <w:rFonts w:ascii="Cambria" w:hAnsi="Cambria"/>
          <w:color w:val="000000"/>
          <w:sz w:val="16"/>
          <w:szCs w:val="16"/>
          <w:lang w:val="es-ES"/>
        </w:rPr>
        <w:t xml:space="preserve">Ver CIDH, </w:t>
      </w:r>
      <w:r w:rsidRPr="00644AF6">
        <w:rPr>
          <w:rFonts w:ascii="Cambria" w:hAnsi="Cambria"/>
          <w:i/>
          <w:iCs/>
          <w:color w:val="000000"/>
          <w:sz w:val="16"/>
          <w:szCs w:val="16"/>
          <w:lang w:val="es-ES"/>
        </w:rPr>
        <w:t>Informe Anual 2023</w:t>
      </w:r>
      <w:r w:rsidRPr="00644AF6">
        <w:rPr>
          <w:rFonts w:ascii="Cambria" w:hAnsi="Cambria"/>
          <w:color w:val="000000"/>
          <w:sz w:val="16"/>
          <w:szCs w:val="16"/>
          <w:lang w:val="es-ES"/>
        </w:rPr>
        <w:t xml:space="preserve">, Capítulo II, Sección C. </w:t>
      </w:r>
      <w:r w:rsidRPr="00644AF6">
        <w:rPr>
          <w:rStyle w:val="ui-provider"/>
          <w:rFonts w:ascii="Cambria" w:hAnsi="Cambria"/>
          <w:sz w:val="16"/>
          <w:szCs w:val="16"/>
          <w:lang w:val="es-AR"/>
        </w:rPr>
        <w:t>Avances y retrocesos en materia de negociación e implementación de acuerdos de solución amistosa</w:t>
      </w:r>
      <w:r w:rsidRPr="00644AF6">
        <w:rPr>
          <w:rFonts w:ascii="Cambria" w:hAnsi="Cambria"/>
          <w:color w:val="000000"/>
          <w:sz w:val="16"/>
          <w:szCs w:val="16"/>
          <w:lang w:val="es-ES"/>
        </w:rPr>
        <w:t xml:space="preserve">. </w:t>
      </w:r>
      <w:r w:rsidRPr="00644AF6">
        <w:rPr>
          <w:rFonts w:ascii="Cambria" w:hAnsi="Cambria"/>
          <w:color w:val="000000"/>
          <w:sz w:val="16"/>
          <w:szCs w:val="16"/>
          <w:lang w:val="es-CO"/>
        </w:rPr>
        <w:t>Disponible en:</w:t>
      </w:r>
      <w:r w:rsidR="00D548BD" w:rsidRPr="00D548BD">
        <w:rPr>
          <w:rFonts w:ascii="Cambria" w:hAnsi="Cambria"/>
          <w:sz w:val="16"/>
          <w:szCs w:val="16"/>
          <w:lang w:val="es-ES"/>
        </w:rPr>
        <w:t xml:space="preserve"> </w:t>
      </w:r>
      <w:hyperlink r:id="rId3" w:history="1">
        <w:r w:rsidR="00D548BD" w:rsidRPr="00D548BD">
          <w:rPr>
            <w:rStyle w:val="Hyperlink"/>
            <w:rFonts w:ascii="Cambria" w:hAnsi="Cambria"/>
            <w:sz w:val="16"/>
            <w:szCs w:val="16"/>
            <w:lang w:val="es-ES"/>
          </w:rPr>
          <w:t>https://www.oas.org/es/cidh/docs/anual/2023/capitulos/IA2023_Cap_2_SPA.PDF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87CC" w14:textId="77777777" w:rsidR="00D57303" w:rsidRPr="0058688A" w:rsidRDefault="00D57303" w:rsidP="00D57303">
    <w:pPr>
      <w:pStyle w:val="Header"/>
      <w:jc w:val="center"/>
      <w:rPr>
        <w:lang w:val="es-ES_tradnl"/>
      </w:rPr>
    </w:pPr>
    <w:bookmarkStart w:id="1" w:name="_Hlk129090305"/>
    <w:bookmarkStart w:id="2" w:name="_Hlk129090306"/>
    <w:bookmarkStart w:id="3" w:name="_Hlk129090399"/>
    <w:bookmarkStart w:id="4" w:name="_Hlk129090400"/>
    <w:bookmarkStart w:id="5" w:name="_Hlk129090413"/>
    <w:bookmarkStart w:id="6" w:name="_Hlk129090414"/>
    <w:bookmarkStart w:id="7" w:name="_Hlk129090871"/>
    <w:bookmarkStart w:id="8" w:name="_Hlk129090872"/>
    <w:bookmarkStart w:id="9" w:name="_Hlk129091030"/>
    <w:bookmarkStart w:id="10" w:name="_Hlk129091031"/>
    <w:bookmarkStart w:id="11" w:name="_Hlk129091177"/>
    <w:bookmarkStart w:id="12" w:name="_Hlk129091178"/>
    <w:bookmarkStart w:id="13" w:name="_Hlk129091943"/>
    <w:bookmarkStart w:id="14" w:name="_Hlk129091944"/>
    <w:bookmarkStart w:id="15" w:name="_Hlk129091951"/>
    <w:bookmarkStart w:id="16" w:name="_Hlk129091952"/>
    <w:bookmarkStart w:id="17" w:name="_Hlk129091955"/>
    <w:bookmarkStart w:id="18" w:name="_Hlk129091956"/>
    <w:bookmarkStart w:id="19" w:name="_Hlk129091959"/>
    <w:bookmarkStart w:id="20" w:name="_Hlk129091960"/>
    <w:bookmarkStart w:id="21" w:name="_Hlk129091963"/>
    <w:bookmarkStart w:id="22" w:name="_Hlk129091964"/>
    <w:bookmarkStart w:id="23" w:name="_Hlk129091966"/>
    <w:bookmarkStart w:id="24" w:name="_Hlk129091967"/>
    <w:bookmarkStart w:id="25" w:name="_Hlk129091970"/>
    <w:bookmarkStart w:id="26" w:name="_Hlk129091971"/>
    <w:bookmarkStart w:id="27" w:name="_Hlk129092063"/>
    <w:bookmarkStart w:id="28" w:name="_Hlk129092064"/>
    <w:r>
      <w:rPr>
        <w:noProof/>
        <w:lang w:val="es-ES_tradnl"/>
      </w:rPr>
      <w:drawing>
        <wp:inline distT="0" distB="0" distL="0" distR="0" wp14:anchorId="15F54FEC" wp14:editId="7F07C721">
          <wp:extent cx="2286000" cy="118110"/>
          <wp:effectExtent l="0" t="0" r="0" b="0"/>
          <wp:docPr id="6136354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79060D21" w14:textId="04BF2FEB" w:rsidR="003378B3" w:rsidRDefault="006A0E74" w:rsidP="00D57303">
    <w:pPr>
      <w:pStyle w:val="Header"/>
    </w:pPr>
    <w:r>
      <w:pict w14:anchorId="317E719E">
        <v:rect id="_x0000_i1025" style="width:0;height:1.5pt" o:hralign="center" o:hrstd="t" o:hr="t" fillcolor="#a0a0a0" stroked="f"/>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12EEBE4" w14:textId="77777777" w:rsidR="003378B3" w:rsidRDefault="0033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2781" w14:textId="77777777" w:rsidR="00D57303" w:rsidRDefault="00D57303" w:rsidP="00D57303">
    <w:pPr>
      <w:pStyle w:val="Header"/>
    </w:pPr>
    <w:bookmarkStart w:id="29" w:name="_Hlk129090378"/>
    <w:bookmarkStart w:id="30" w:name="_Hlk129090379"/>
    <w:bookmarkStart w:id="31" w:name="_Hlk129090860"/>
    <w:bookmarkStart w:id="32" w:name="_Hlk129090861"/>
    <w:bookmarkStart w:id="33" w:name="_Hlk129091020"/>
    <w:bookmarkStart w:id="34" w:name="_Hlk129091021"/>
    <w:bookmarkStart w:id="35" w:name="_Hlk129091166"/>
    <w:bookmarkStart w:id="36" w:name="_Hlk129091167"/>
    <w:bookmarkStart w:id="37" w:name="_Hlk129091892"/>
    <w:bookmarkStart w:id="38" w:name="_Hlk129091893"/>
    <w:bookmarkStart w:id="39" w:name="_Hlk129091899"/>
    <w:bookmarkStart w:id="40" w:name="_Hlk129091900"/>
    <w:bookmarkStart w:id="41" w:name="_Hlk129091905"/>
    <w:bookmarkStart w:id="42" w:name="_Hlk129091906"/>
    <w:bookmarkStart w:id="43" w:name="_Hlk129091911"/>
    <w:bookmarkStart w:id="44" w:name="_Hlk129091912"/>
    <w:bookmarkStart w:id="45" w:name="_Hlk129091916"/>
    <w:bookmarkStart w:id="46" w:name="_Hlk129091917"/>
    <w:bookmarkStart w:id="47" w:name="_Hlk129091922"/>
    <w:bookmarkStart w:id="48" w:name="_Hlk129091923"/>
    <w:bookmarkStart w:id="49" w:name="_Hlk129091926"/>
    <w:bookmarkStart w:id="50" w:name="_Hlk129091927"/>
    <w:bookmarkStart w:id="51" w:name="_Hlk129092049"/>
    <w:bookmarkStart w:id="52" w:name="_Hlk129092050"/>
    <w:r w:rsidRPr="008A5CB5">
      <w:rPr>
        <w:noProof/>
      </w:rPr>
      <w:drawing>
        <wp:inline distT="0" distB="0" distL="0" distR="0" wp14:anchorId="78E6E6FD" wp14:editId="4D385E1D">
          <wp:extent cx="2345055" cy="457200"/>
          <wp:effectExtent l="0" t="0" r="0" b="0"/>
          <wp:docPr id="1220400338"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67F4F16" wp14:editId="5D09BC95">
          <wp:extent cx="1943100" cy="495300"/>
          <wp:effectExtent l="0" t="0" r="0" b="0"/>
          <wp:docPr id="1167794346" name="Picture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30684" name="Picture 1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2524327" w14:textId="77777777" w:rsidR="00D57303" w:rsidRDefault="006A0E74" w:rsidP="00D57303">
    <w:pPr>
      <w:pStyle w:val="Header"/>
    </w:pPr>
    <w:r>
      <w:pict w14:anchorId="33646276">
        <v:rect id="_x0000_i1026" style="width:0;height:1.5pt" o:hralign="center" o:hrstd="t" o:hr="t" fillcolor="#a0a0a0" stroked="f"/>
      </w:pic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8EC4791" w14:textId="77777777" w:rsidR="003378B3" w:rsidRDefault="0033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4"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8"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5"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5B510B42"/>
    <w:multiLevelType w:val="hybridMultilevel"/>
    <w:tmpl w:val="33A6B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7"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2"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37"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36"/>
  </w:num>
  <w:num w:numId="2" w16cid:durableId="1198784672">
    <w:abstractNumId w:val="3"/>
  </w:num>
  <w:num w:numId="3" w16cid:durableId="946815819">
    <w:abstractNumId w:val="35"/>
  </w:num>
  <w:num w:numId="4" w16cid:durableId="1735083488">
    <w:abstractNumId w:val="19"/>
  </w:num>
  <w:num w:numId="5" w16cid:durableId="1809080309">
    <w:abstractNumId w:val="16"/>
  </w:num>
  <w:num w:numId="6" w16cid:durableId="2000111282">
    <w:abstractNumId w:val="38"/>
  </w:num>
  <w:num w:numId="7" w16cid:durableId="1182233948">
    <w:abstractNumId w:val="8"/>
  </w:num>
  <w:num w:numId="8" w16cid:durableId="653609088">
    <w:abstractNumId w:val="31"/>
  </w:num>
  <w:num w:numId="9" w16cid:durableId="263657786">
    <w:abstractNumId w:val="10"/>
  </w:num>
  <w:num w:numId="10" w16cid:durableId="1629429028">
    <w:abstractNumId w:val="2"/>
  </w:num>
  <w:num w:numId="11" w16cid:durableId="1415277257">
    <w:abstractNumId w:val="7"/>
  </w:num>
  <w:num w:numId="12" w16cid:durableId="98719486">
    <w:abstractNumId w:val="9"/>
  </w:num>
  <w:num w:numId="13" w16cid:durableId="643854056">
    <w:abstractNumId w:val="29"/>
  </w:num>
  <w:num w:numId="14" w16cid:durableId="1517694182">
    <w:abstractNumId w:val="12"/>
  </w:num>
  <w:num w:numId="15" w16cid:durableId="815797891">
    <w:abstractNumId w:val="34"/>
  </w:num>
  <w:num w:numId="16" w16cid:durableId="251282083">
    <w:abstractNumId w:val="6"/>
  </w:num>
  <w:num w:numId="17" w16cid:durableId="1185630687">
    <w:abstractNumId w:val="20"/>
  </w:num>
  <w:num w:numId="18" w16cid:durableId="938754063">
    <w:abstractNumId w:val="27"/>
  </w:num>
  <w:num w:numId="19" w16cid:durableId="287009962">
    <w:abstractNumId w:val="22"/>
  </w:num>
  <w:num w:numId="20" w16cid:durableId="1427114931">
    <w:abstractNumId w:val="0"/>
  </w:num>
  <w:num w:numId="21" w16cid:durableId="1996837994">
    <w:abstractNumId w:val="15"/>
  </w:num>
  <w:num w:numId="22" w16cid:durableId="1249198344">
    <w:abstractNumId w:val="1"/>
  </w:num>
  <w:num w:numId="23" w16cid:durableId="1945647392">
    <w:abstractNumId w:val="24"/>
  </w:num>
  <w:num w:numId="24" w16cid:durableId="537162661">
    <w:abstractNumId w:val="28"/>
  </w:num>
  <w:num w:numId="25" w16cid:durableId="1989938239">
    <w:abstractNumId w:val="17"/>
  </w:num>
  <w:num w:numId="26" w16cid:durableId="1967273059">
    <w:abstractNumId w:val="32"/>
  </w:num>
  <w:num w:numId="27" w16cid:durableId="1065761970">
    <w:abstractNumId w:val="13"/>
  </w:num>
  <w:num w:numId="28" w16cid:durableId="45295993">
    <w:abstractNumId w:val="4"/>
  </w:num>
  <w:num w:numId="29" w16cid:durableId="698167985">
    <w:abstractNumId w:val="21"/>
  </w:num>
  <w:num w:numId="30" w16cid:durableId="1709643113">
    <w:abstractNumId w:val="33"/>
  </w:num>
  <w:num w:numId="31" w16cid:durableId="934480746">
    <w:abstractNumId w:val="30"/>
  </w:num>
  <w:num w:numId="32" w16cid:durableId="541211672">
    <w:abstractNumId w:val="11"/>
  </w:num>
  <w:num w:numId="33" w16cid:durableId="1345130465">
    <w:abstractNumId w:val="26"/>
  </w:num>
  <w:num w:numId="34" w16cid:durableId="1757743752">
    <w:abstractNumId w:val="23"/>
  </w:num>
  <w:num w:numId="35" w16cid:durableId="83184206">
    <w:abstractNumId w:val="5"/>
  </w:num>
  <w:num w:numId="36" w16cid:durableId="1037505896">
    <w:abstractNumId w:val="37"/>
  </w:num>
  <w:num w:numId="37" w16cid:durableId="1162084678">
    <w:abstractNumId w:val="14"/>
  </w:num>
  <w:num w:numId="38" w16cid:durableId="247926190">
    <w:abstractNumId w:val="18"/>
  </w:num>
  <w:num w:numId="39" w16cid:durableId="6795458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741"/>
    <w:rsid w:val="000840A1"/>
    <w:rsid w:val="0009182C"/>
    <w:rsid w:val="000974AD"/>
    <w:rsid w:val="000A0354"/>
    <w:rsid w:val="000A1EFD"/>
    <w:rsid w:val="000F4520"/>
    <w:rsid w:val="000F6AC8"/>
    <w:rsid w:val="00106C59"/>
    <w:rsid w:val="00121A07"/>
    <w:rsid w:val="001236DC"/>
    <w:rsid w:val="00132D55"/>
    <w:rsid w:val="00134455"/>
    <w:rsid w:val="00162E82"/>
    <w:rsid w:val="00163E52"/>
    <w:rsid w:val="00165C18"/>
    <w:rsid w:val="0016622B"/>
    <w:rsid w:val="00183508"/>
    <w:rsid w:val="001873B5"/>
    <w:rsid w:val="00194368"/>
    <w:rsid w:val="001B1DFD"/>
    <w:rsid w:val="001C0A6D"/>
    <w:rsid w:val="001C230A"/>
    <w:rsid w:val="001C3868"/>
    <w:rsid w:val="001C4224"/>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E1"/>
    <w:rsid w:val="002C446E"/>
    <w:rsid w:val="002D3FBD"/>
    <w:rsid w:val="002E03E0"/>
    <w:rsid w:val="00301A2A"/>
    <w:rsid w:val="00324282"/>
    <w:rsid w:val="003378B3"/>
    <w:rsid w:val="00360412"/>
    <w:rsid w:val="00376A6A"/>
    <w:rsid w:val="00393310"/>
    <w:rsid w:val="003A30C8"/>
    <w:rsid w:val="003B3362"/>
    <w:rsid w:val="003B479F"/>
    <w:rsid w:val="003D4630"/>
    <w:rsid w:val="003E3690"/>
    <w:rsid w:val="00412204"/>
    <w:rsid w:val="0041423F"/>
    <w:rsid w:val="00425C1D"/>
    <w:rsid w:val="004506DA"/>
    <w:rsid w:val="0047175E"/>
    <w:rsid w:val="0047765A"/>
    <w:rsid w:val="00477809"/>
    <w:rsid w:val="00483B3C"/>
    <w:rsid w:val="00483CF7"/>
    <w:rsid w:val="00497B73"/>
    <w:rsid w:val="004A15BA"/>
    <w:rsid w:val="004A2550"/>
    <w:rsid w:val="004B6622"/>
    <w:rsid w:val="004C0674"/>
    <w:rsid w:val="004C4D9C"/>
    <w:rsid w:val="004D7999"/>
    <w:rsid w:val="004F3537"/>
    <w:rsid w:val="004F3B49"/>
    <w:rsid w:val="00502C86"/>
    <w:rsid w:val="00511C17"/>
    <w:rsid w:val="00515370"/>
    <w:rsid w:val="00525898"/>
    <w:rsid w:val="00545027"/>
    <w:rsid w:val="00546ACC"/>
    <w:rsid w:val="0055600F"/>
    <w:rsid w:val="00565615"/>
    <w:rsid w:val="005664CA"/>
    <w:rsid w:val="0058266E"/>
    <w:rsid w:val="0058688A"/>
    <w:rsid w:val="00590BCD"/>
    <w:rsid w:val="00593BAE"/>
    <w:rsid w:val="005A32E4"/>
    <w:rsid w:val="005A5292"/>
    <w:rsid w:val="005A732D"/>
    <w:rsid w:val="005B23B6"/>
    <w:rsid w:val="005C5563"/>
    <w:rsid w:val="005E11CE"/>
    <w:rsid w:val="005E7D95"/>
    <w:rsid w:val="005F4AAA"/>
    <w:rsid w:val="00604132"/>
    <w:rsid w:val="00604F1C"/>
    <w:rsid w:val="00617ED5"/>
    <w:rsid w:val="00622A27"/>
    <w:rsid w:val="006409F9"/>
    <w:rsid w:val="0064287C"/>
    <w:rsid w:val="006440B6"/>
    <w:rsid w:val="00644AF6"/>
    <w:rsid w:val="00650F99"/>
    <w:rsid w:val="0066572E"/>
    <w:rsid w:val="006753A9"/>
    <w:rsid w:val="00683740"/>
    <w:rsid w:val="006964C0"/>
    <w:rsid w:val="006A0E74"/>
    <w:rsid w:val="006A40D0"/>
    <w:rsid w:val="006A592E"/>
    <w:rsid w:val="006A6CAF"/>
    <w:rsid w:val="006A6F49"/>
    <w:rsid w:val="006A7144"/>
    <w:rsid w:val="006B4CEC"/>
    <w:rsid w:val="006C60F3"/>
    <w:rsid w:val="006F0429"/>
    <w:rsid w:val="006F4B6C"/>
    <w:rsid w:val="006F6BBC"/>
    <w:rsid w:val="0070714C"/>
    <w:rsid w:val="00745807"/>
    <w:rsid w:val="00747464"/>
    <w:rsid w:val="00754FFE"/>
    <w:rsid w:val="007779B2"/>
    <w:rsid w:val="0078116D"/>
    <w:rsid w:val="00786A91"/>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3D3C"/>
    <w:rsid w:val="008060DE"/>
    <w:rsid w:val="00807BAA"/>
    <w:rsid w:val="00814DCE"/>
    <w:rsid w:val="00817EFE"/>
    <w:rsid w:val="00821BD0"/>
    <w:rsid w:val="00824097"/>
    <w:rsid w:val="00824181"/>
    <w:rsid w:val="0083144B"/>
    <w:rsid w:val="00853611"/>
    <w:rsid w:val="0085420D"/>
    <w:rsid w:val="008550EF"/>
    <w:rsid w:val="008617A6"/>
    <w:rsid w:val="00863A25"/>
    <w:rsid w:val="008641C8"/>
    <w:rsid w:val="008776EB"/>
    <w:rsid w:val="0089140E"/>
    <w:rsid w:val="0089637D"/>
    <w:rsid w:val="008B0045"/>
    <w:rsid w:val="008B0889"/>
    <w:rsid w:val="008B67EB"/>
    <w:rsid w:val="008C0E1A"/>
    <w:rsid w:val="008E0DEF"/>
    <w:rsid w:val="008E3636"/>
    <w:rsid w:val="00913BF3"/>
    <w:rsid w:val="00917950"/>
    <w:rsid w:val="00921645"/>
    <w:rsid w:val="00931D14"/>
    <w:rsid w:val="009331A5"/>
    <w:rsid w:val="00933A89"/>
    <w:rsid w:val="00944F57"/>
    <w:rsid w:val="009477D5"/>
    <w:rsid w:val="00977EF7"/>
    <w:rsid w:val="00986996"/>
    <w:rsid w:val="0099077E"/>
    <w:rsid w:val="009A00A8"/>
    <w:rsid w:val="009A542A"/>
    <w:rsid w:val="009B480D"/>
    <w:rsid w:val="009C4D87"/>
    <w:rsid w:val="009C56C0"/>
    <w:rsid w:val="009C5710"/>
    <w:rsid w:val="009D20DE"/>
    <w:rsid w:val="009E7D66"/>
    <w:rsid w:val="009F0FEB"/>
    <w:rsid w:val="009F1C70"/>
    <w:rsid w:val="009F77BA"/>
    <w:rsid w:val="00A13D4B"/>
    <w:rsid w:val="00A179F1"/>
    <w:rsid w:val="00A25CA7"/>
    <w:rsid w:val="00A3232A"/>
    <w:rsid w:val="00A343FF"/>
    <w:rsid w:val="00A366BE"/>
    <w:rsid w:val="00A466C8"/>
    <w:rsid w:val="00A47FF7"/>
    <w:rsid w:val="00A56234"/>
    <w:rsid w:val="00A72869"/>
    <w:rsid w:val="00A74A1D"/>
    <w:rsid w:val="00A942E0"/>
    <w:rsid w:val="00AA0407"/>
    <w:rsid w:val="00AA4E4E"/>
    <w:rsid w:val="00AC2BAD"/>
    <w:rsid w:val="00AE1B0F"/>
    <w:rsid w:val="00AE2597"/>
    <w:rsid w:val="00AF0CEC"/>
    <w:rsid w:val="00AF37E4"/>
    <w:rsid w:val="00B02BDD"/>
    <w:rsid w:val="00B033A1"/>
    <w:rsid w:val="00B056D9"/>
    <w:rsid w:val="00B17D1F"/>
    <w:rsid w:val="00B2161A"/>
    <w:rsid w:val="00B6696C"/>
    <w:rsid w:val="00B75824"/>
    <w:rsid w:val="00B806AC"/>
    <w:rsid w:val="00B90B9D"/>
    <w:rsid w:val="00B91191"/>
    <w:rsid w:val="00B91D8E"/>
    <w:rsid w:val="00B93993"/>
    <w:rsid w:val="00BA675E"/>
    <w:rsid w:val="00BB5902"/>
    <w:rsid w:val="00BC19D9"/>
    <w:rsid w:val="00BD37BE"/>
    <w:rsid w:val="00BF33B2"/>
    <w:rsid w:val="00BF7310"/>
    <w:rsid w:val="00C04C07"/>
    <w:rsid w:val="00C06B41"/>
    <w:rsid w:val="00C1382E"/>
    <w:rsid w:val="00C40F2C"/>
    <w:rsid w:val="00C6690B"/>
    <w:rsid w:val="00C741BE"/>
    <w:rsid w:val="00CA2777"/>
    <w:rsid w:val="00CA3AA8"/>
    <w:rsid w:val="00CB0CA0"/>
    <w:rsid w:val="00CC4274"/>
    <w:rsid w:val="00CC5359"/>
    <w:rsid w:val="00CD3889"/>
    <w:rsid w:val="00CF64FA"/>
    <w:rsid w:val="00D05BCC"/>
    <w:rsid w:val="00D13990"/>
    <w:rsid w:val="00D222B7"/>
    <w:rsid w:val="00D5166A"/>
    <w:rsid w:val="00D548BD"/>
    <w:rsid w:val="00D56F83"/>
    <w:rsid w:val="00D57303"/>
    <w:rsid w:val="00D809FF"/>
    <w:rsid w:val="00D82E91"/>
    <w:rsid w:val="00D96EC6"/>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2815"/>
    <w:rsid w:val="00E56BF2"/>
    <w:rsid w:val="00E62255"/>
    <w:rsid w:val="00E72BD0"/>
    <w:rsid w:val="00E77756"/>
    <w:rsid w:val="00E82BFD"/>
    <w:rsid w:val="00EB1162"/>
    <w:rsid w:val="00EB3ACF"/>
    <w:rsid w:val="00EC03C5"/>
    <w:rsid w:val="00EC64BF"/>
    <w:rsid w:val="00ED4C58"/>
    <w:rsid w:val="00ED518E"/>
    <w:rsid w:val="00EF1BD7"/>
    <w:rsid w:val="00F0294F"/>
    <w:rsid w:val="00F06E69"/>
    <w:rsid w:val="00F072C0"/>
    <w:rsid w:val="00F07B09"/>
    <w:rsid w:val="00F52F31"/>
    <w:rsid w:val="00F54F60"/>
    <w:rsid w:val="00F62F2B"/>
    <w:rsid w:val="00F659FE"/>
    <w:rsid w:val="00F66FEE"/>
    <w:rsid w:val="00F72E41"/>
    <w:rsid w:val="00F8544E"/>
    <w:rsid w:val="00FA0536"/>
    <w:rsid w:val="00FB4E30"/>
    <w:rsid w:val="00FC00EE"/>
    <w:rsid w:val="00FC0266"/>
    <w:rsid w:val="00FC66C2"/>
    <w:rsid w:val="00FD09E6"/>
    <w:rsid w:val="00FD7ED8"/>
    <w:rsid w:val="00FE1682"/>
    <w:rsid w:val="00FE2B62"/>
    <w:rsid w:val="00FF46A4"/>
    <w:rsid w:val="00FF5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customStyle="1" w:styleId="normaltextrun">
    <w:name w:val="normaltextrun"/>
    <w:basedOn w:val="DefaultParagraphFont"/>
    <w:rsid w:val="001236DC"/>
  </w:style>
  <w:style w:type="character" w:customStyle="1" w:styleId="ui-provider">
    <w:name w:val="ui-provider"/>
    <w:basedOn w:val="DefaultParagraphFont"/>
    <w:rsid w:val="001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0528">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115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as.org/es/cidh/decisiones/2019/ARAD1547-10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22/ARSA_13.869_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3/capitulos/IA2023_Cap_2_SPA.PDF" TargetMode="External"/><Relationship Id="rId2" Type="http://schemas.openxmlformats.org/officeDocument/2006/relationships/hyperlink" Target="https://www.oas.org/es/cidh/decisiones/2022/ARSA_13.869_ES.PDF" TargetMode="External"/><Relationship Id="rId1" Type="http://schemas.openxmlformats.org/officeDocument/2006/relationships/hyperlink" Target="https://www.oas.org/es/cidh/docs/anual/2023/capitulos/IA2023_Cap_2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5.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